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Poppins" w:cs="Poppins" w:eastAsia="Poppins" w:hAnsi="Poppins"/>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1994217</wp:posOffset>
            </wp:positionH>
            <wp:positionV relativeFrom="paragraph">
              <wp:posOffset>-1031239</wp:posOffset>
            </wp:positionV>
            <wp:extent cx="2120265" cy="1920240"/>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20265" cy="1920240"/>
                    </a:xfrm>
                    <a:prstGeom prst="rect"/>
                    <a:ln/>
                  </pic:spPr>
                </pic:pic>
              </a:graphicData>
            </a:graphic>
          </wp:anchor>
        </w:drawing>
      </w:r>
    </w:p>
    <w:p w:rsidR="00000000" w:rsidDel="00000000" w:rsidP="00000000" w:rsidRDefault="00000000" w:rsidRPr="00000000" w14:paraId="00000002">
      <w:pPr>
        <w:rPr>
          <w:rFonts w:ascii="Poppins" w:cs="Poppins" w:eastAsia="Poppins" w:hAnsi="Poppins"/>
        </w:rPr>
      </w:pPr>
      <w:r w:rsidDel="00000000" w:rsidR="00000000" w:rsidRPr="00000000">
        <w:rPr>
          <w:rtl w:val="0"/>
        </w:rPr>
      </w:r>
    </w:p>
    <w:p w:rsidR="00000000" w:rsidDel="00000000" w:rsidP="00000000" w:rsidRDefault="00000000" w:rsidRPr="00000000" w14:paraId="00000003">
      <w:pPr>
        <w:rPr>
          <w:rFonts w:ascii="Poppins" w:cs="Poppins" w:eastAsia="Poppins" w:hAnsi="Poppins"/>
        </w:rPr>
      </w:pPr>
      <w:r w:rsidDel="00000000" w:rsidR="00000000" w:rsidRPr="00000000">
        <w:rPr>
          <w:rtl w:val="0"/>
        </w:rPr>
      </w:r>
    </w:p>
    <w:p w:rsidR="00000000" w:rsidDel="00000000" w:rsidP="00000000" w:rsidRDefault="00000000" w:rsidRPr="00000000" w14:paraId="00000004">
      <w:pPr>
        <w:spacing w:after="120" w:before="240" w:lineRule="auto"/>
        <w:rPr>
          <w:rFonts w:ascii="Poppins" w:cs="Poppins" w:eastAsia="Poppins" w:hAnsi="Poppins"/>
          <w:b w:val="1"/>
          <w:bCs w:val="1"/>
          <w:color w:val="1f497d"/>
          <w:sz w:val="48"/>
          <w:szCs w:val="48"/>
        </w:rPr>
      </w:pPr>
      <w:r w:rsidDel="00000000" w:rsidR="00000000" w:rsidRPr="00000000">
        <w:rPr>
          <w:rtl w:val="0"/>
        </w:rPr>
      </w:r>
    </w:p>
    <w:p w:rsidR="00000000" w:rsidDel="00000000" w:rsidP="00000000" w:rsidRDefault="00000000" w:rsidRPr="00000000" w14:paraId="00000005">
      <w:pPr>
        <w:spacing w:after="120" w:before="240" w:lineRule="auto"/>
        <w:jc w:val="center"/>
        <w:rPr>
          <w:rFonts w:ascii="Poppins" w:cs="Poppins" w:eastAsia="Poppins" w:hAnsi="Poppins"/>
          <w:b w:val="1"/>
          <w:bCs w:val="1"/>
          <w:sz w:val="36"/>
          <w:szCs w:val="36"/>
        </w:rPr>
      </w:pPr>
      <w:r w:rsidDel="00000000" w:rsidR="00000000" w:rsidRPr="00000000">
        <w:rPr>
          <w:rFonts w:ascii="Poppins" w:cs="Poppins" w:eastAsia="Poppins" w:hAnsi="Poppins"/>
          <w:b w:val="1"/>
          <w:bCs w:val="1"/>
          <w:sz w:val="36"/>
          <w:szCs w:val="36"/>
          <w:rtl w:val="0"/>
        </w:rPr>
        <w:t xml:space="preserve">Capacitarea tinerilor din mediul rural: înființarea și consolidarea Parlamentului Tinerilor Rurali în Africa Subsahariană</w:t>
      </w:r>
    </w:p>
    <w:p w:rsidR="00000000" w:rsidDel="00000000" w:rsidP="00000000" w:rsidRDefault="00000000" w:rsidRPr="00000000" w14:paraId="00000006">
      <w:pPr>
        <w:spacing w:after="120" w:before="240" w:lineRule="auto"/>
        <w:rPr>
          <w:rFonts w:ascii="Poppins" w:cs="Poppins" w:eastAsia="Poppins" w:hAnsi="Poppins"/>
          <w:color w:val="2f6b3a"/>
        </w:rPr>
      </w:pPr>
      <w:r w:rsidDel="00000000" w:rsidR="00000000" w:rsidRPr="00000000">
        <w:rPr>
          <w:rtl w:val="0"/>
        </w:rPr>
      </w:r>
    </w:p>
    <w:p w:rsidR="00000000" w:rsidDel="00000000" w:rsidP="00000000" w:rsidRDefault="00000000" w:rsidRPr="00000000" w14:paraId="00000007">
      <w:pPr>
        <w:spacing w:after="80" w:lineRule="auto"/>
        <w:jc w:val="center"/>
        <w:rPr>
          <w:rFonts w:ascii="Poppins" w:cs="Poppins" w:eastAsia="Poppins" w:hAnsi="Poppins"/>
          <w:color w:val="2f6b3a"/>
          <w:sz w:val="48"/>
          <w:szCs w:val="48"/>
        </w:rPr>
      </w:pPr>
      <w:r w:rsidDel="00000000" w:rsidR="00000000" w:rsidRPr="00000000">
        <w:rPr>
          <w:rFonts w:ascii="Poppins" w:cs="Poppins" w:eastAsia="Poppins" w:hAnsi="Poppins"/>
          <w:b w:val="1"/>
          <w:bCs w:val="1"/>
          <w:color w:val="2f6b3a"/>
          <w:sz w:val="48"/>
          <w:szCs w:val="48"/>
          <w:rtl w:val="0"/>
        </w:rPr>
        <w:t xml:space="preserve">Prezentarea generală a proiectului EMPOWER+</w:t>
      </w:r>
      <w:r w:rsidDel="00000000" w:rsidR="00000000" w:rsidRPr="00000000">
        <w:rPr>
          <w:rtl w:val="0"/>
        </w:rPr>
      </w:r>
    </w:p>
    <w:p w:rsidR="00000000" w:rsidDel="00000000" w:rsidP="00000000" w:rsidRDefault="00000000" w:rsidRPr="00000000" w14:paraId="00000008">
      <w:pPr>
        <w:spacing w:after="160" w:lineRule="auto"/>
        <w:jc w:val="center"/>
        <w:rPr>
          <w:rFonts w:ascii="Poppins" w:cs="Poppins" w:eastAsia="Poppins" w:hAnsi="Poppins"/>
          <w:i w:val="1"/>
          <w:iCs w:val="1"/>
          <w:color w:val="b7c3a1"/>
          <w:sz w:val="36"/>
          <w:szCs w:val="36"/>
        </w:rPr>
      </w:pPr>
      <w:r w:rsidDel="00000000" w:rsidR="00000000" w:rsidRPr="00000000">
        <w:rPr>
          <w:rFonts w:ascii="Poppins" w:cs="Poppins" w:eastAsia="Poppins" w:hAnsi="Poppins"/>
          <w:i w:val="1"/>
          <w:iCs w:val="1"/>
          <w:color w:val="b7c3a1"/>
          <w:sz w:val="36"/>
          <w:szCs w:val="36"/>
          <w:rtl w:val="0"/>
        </w:rPr>
        <w:t xml:space="preserve">O prezentare generală a participării tinerilor SSAC</w:t>
      </w:r>
    </w:p>
    <w:p w:rsidR="00000000" w:rsidDel="00000000" w:rsidP="00000000" w:rsidRDefault="00000000" w:rsidRPr="00000000" w14:paraId="00000009">
      <w:pPr>
        <w:spacing w:after="160" w:lineRule="auto"/>
        <w:jc w:val="center"/>
        <w:rPr>
          <w:rFonts w:ascii="Poppins" w:cs="Poppins" w:eastAsia="Poppins" w:hAnsi="Poppins"/>
        </w:rPr>
      </w:pPr>
      <w:r w:rsidDel="00000000" w:rsidR="00000000" w:rsidRPr="00000000">
        <w:rPr>
          <w:rtl w:val="0"/>
        </w:rPr>
      </w:r>
    </w:p>
    <w:p w:rsidR="00000000" w:rsidDel="00000000" w:rsidP="00000000" w:rsidRDefault="00000000" w:rsidRPr="00000000" w14:paraId="0000000A">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Program: </w:t>
      </w:r>
      <w:r w:rsidDel="00000000" w:rsidR="00000000" w:rsidRPr="00000000">
        <w:rPr>
          <w:rFonts w:ascii="Poppins" w:cs="Poppins" w:eastAsia="Poppins" w:hAnsi="Poppins"/>
          <w:color w:val="1a1a1a"/>
          <w:rtl w:val="0"/>
        </w:rPr>
        <w:t xml:space="preserve">Erasmus+ Consolidarea capacităților în domeniul tineretului în Africa Subsahariană</w:t>
      </w:r>
      <w:r w:rsidDel="00000000" w:rsidR="00000000" w:rsidRPr="00000000">
        <w:rPr>
          <w:rtl w:val="0"/>
        </w:rPr>
      </w:r>
    </w:p>
    <w:p w:rsidR="00000000" w:rsidDel="00000000" w:rsidP="00000000" w:rsidRDefault="00000000" w:rsidRPr="00000000" w14:paraId="0000000B">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Apel: </w:t>
      </w:r>
      <w:r w:rsidDel="00000000" w:rsidR="00000000" w:rsidRPr="00000000">
        <w:rPr>
          <w:rFonts w:ascii="Poppins" w:cs="Poppins" w:eastAsia="Poppins" w:hAnsi="Poppins"/>
          <w:color w:val="1a1a1a"/>
          <w:rtl w:val="0"/>
        </w:rPr>
        <w:t xml:space="preserve">ERASMUS-YOUTH-2025-CB-SSA</w:t>
      </w:r>
      <w:r w:rsidDel="00000000" w:rsidR="00000000" w:rsidRPr="00000000">
        <w:rPr>
          <w:rtl w:val="0"/>
        </w:rPr>
      </w:r>
    </w:p>
    <w:p w:rsidR="00000000" w:rsidDel="00000000" w:rsidP="00000000" w:rsidRDefault="00000000" w:rsidRPr="00000000" w14:paraId="0000000C">
      <w:pPr>
        <w:spacing w:after="40" w:before="40" w:lineRule="auto"/>
        <w:jc w:val="both"/>
        <w:rPr>
          <w:rFonts w:ascii="Poppins" w:cs="Poppins" w:eastAsia="Poppins" w:hAnsi="Poppins"/>
          <w:color w:val="1a1a1a"/>
        </w:rPr>
      </w:pPr>
      <w:r w:rsidDel="00000000" w:rsidR="00000000" w:rsidRPr="00000000">
        <w:rPr>
          <w:rFonts w:ascii="Poppins" w:cs="Poppins" w:eastAsia="Poppins" w:hAnsi="Poppins"/>
          <w:b w:val="1"/>
          <w:bCs w:val="1"/>
          <w:color w:val="2f6b3a"/>
          <w:rtl w:val="0"/>
        </w:rPr>
        <w:t xml:space="preserve">Număr proiect: </w:t>
      </w:r>
      <w:r w:rsidDel="00000000" w:rsidR="00000000" w:rsidRPr="00000000">
        <w:rPr>
          <w:rFonts w:ascii="Poppins" w:cs="Poppins" w:eastAsia="Poppins" w:hAnsi="Poppins"/>
          <w:color w:val="1a1a1a"/>
          <w:rtl w:val="0"/>
        </w:rPr>
        <w:t xml:space="preserve">101243075</w:t>
      </w:r>
    </w:p>
    <w:p w:rsidR="00000000" w:rsidDel="00000000" w:rsidP="00000000" w:rsidRDefault="00000000" w:rsidRPr="00000000" w14:paraId="0000000D">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Finanțat de: </w:t>
      </w:r>
      <w:r w:rsidDel="00000000" w:rsidR="00000000" w:rsidRPr="00000000">
        <w:rPr>
          <w:rFonts w:ascii="Poppins" w:cs="Poppins" w:eastAsia="Poppins" w:hAnsi="Poppins"/>
          <w:color w:val="1a1a1a"/>
          <w:rtl w:val="0"/>
        </w:rPr>
        <w:t xml:space="preserve">Uniunea Europeană, Programul Erasmus+</w:t>
      </w:r>
      <w:r w:rsidDel="00000000" w:rsidR="00000000" w:rsidRPr="00000000">
        <w:rPr>
          <w:rtl w:val="0"/>
        </w:rPr>
      </w:r>
    </w:p>
    <w:p w:rsidR="00000000" w:rsidDel="00000000" w:rsidP="00000000" w:rsidRDefault="00000000" w:rsidRPr="00000000" w14:paraId="0000000E">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Pachet de lucru: </w:t>
      </w:r>
      <w:r w:rsidDel="00000000" w:rsidR="00000000" w:rsidRPr="00000000">
        <w:rPr>
          <w:rFonts w:ascii="Poppins" w:cs="Poppins" w:eastAsia="Poppins" w:hAnsi="Poppins"/>
          <w:color w:val="1a1a1a"/>
          <w:rtl w:val="0"/>
        </w:rPr>
        <w:t xml:space="preserve">Pachetul de lucru 2: Cadrul politicilor de tineret</w:t>
      </w:r>
      <w:r w:rsidDel="00000000" w:rsidR="00000000" w:rsidRPr="00000000">
        <w:rPr>
          <w:rtl w:val="0"/>
        </w:rPr>
      </w:r>
    </w:p>
    <w:p w:rsidR="00000000" w:rsidDel="00000000" w:rsidP="00000000" w:rsidRDefault="00000000" w:rsidRPr="00000000" w14:paraId="0000000F">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Livrabil: </w:t>
      </w:r>
      <w:r w:rsidDel="00000000" w:rsidR="00000000" w:rsidRPr="00000000">
        <w:rPr>
          <w:rFonts w:ascii="Poppins" w:cs="Poppins" w:eastAsia="Poppins" w:hAnsi="Poppins"/>
          <w:color w:val="1a1a1a"/>
          <w:rtl w:val="0"/>
        </w:rPr>
        <w:t xml:space="preserve">D2.1 Raportul proiectului EMPOWER+: o prezentare generală a participării tinerilor SSAC</w:t>
      </w:r>
      <w:r w:rsidDel="00000000" w:rsidR="00000000" w:rsidRPr="00000000">
        <w:rPr>
          <w:rtl w:val="0"/>
        </w:rPr>
      </w:r>
    </w:p>
    <w:p w:rsidR="00000000" w:rsidDel="00000000" w:rsidP="00000000" w:rsidRDefault="00000000" w:rsidRPr="00000000" w14:paraId="00000010">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Parteneri: </w:t>
      </w:r>
      <w:r w:rsidDel="00000000" w:rsidR="00000000" w:rsidRPr="00000000">
        <w:rPr>
          <w:rFonts w:ascii="Poppins" w:cs="Poppins" w:eastAsia="Poppins" w:hAnsi="Poppins"/>
          <w:color w:val="1a1a1a"/>
          <w:rtl w:val="0"/>
        </w:rPr>
        <w:t xml:space="preserve">GAL Napoca Porolissum (RO), Connectus (GR), A Rocca (IT), MFFR Maurice (MU), SSPL (NG), TIDC (BW), JMC (BW), CEMEA (MG)</w:t>
      </w:r>
      <w:r w:rsidDel="00000000" w:rsidR="00000000" w:rsidRPr="00000000">
        <w:rPr>
          <w:rtl w:val="0"/>
        </w:rPr>
      </w:r>
    </w:p>
    <w:p w:rsidR="00000000" w:rsidDel="00000000" w:rsidP="00000000" w:rsidRDefault="00000000" w:rsidRPr="00000000" w14:paraId="00000011">
      <w:pPr>
        <w:spacing w:after="40" w:before="40" w:lineRule="auto"/>
        <w:jc w:val="both"/>
        <w:rPr>
          <w:rFonts w:ascii="Poppins" w:cs="Poppins" w:eastAsia="Poppins" w:hAnsi="Poppins"/>
          <w:color w:val="1a1a1a"/>
        </w:rPr>
      </w:pPr>
      <w:r w:rsidDel="00000000" w:rsidR="00000000" w:rsidRPr="00000000">
        <w:rPr>
          <w:rFonts w:ascii="Poppins" w:cs="Poppins" w:eastAsia="Poppins" w:hAnsi="Poppins"/>
          <w:b w:val="1"/>
          <w:bCs w:val="1"/>
          <w:color w:val="2f6b3a"/>
          <w:rtl w:val="0"/>
        </w:rPr>
        <w:t xml:space="preserve">Țări: </w:t>
      </w:r>
      <w:r w:rsidDel="00000000" w:rsidR="00000000" w:rsidRPr="00000000">
        <w:rPr>
          <w:rFonts w:ascii="Poppins" w:cs="Poppins" w:eastAsia="Poppins" w:hAnsi="Poppins"/>
          <w:color w:val="1a1a1a"/>
          <w:rtl w:val="0"/>
        </w:rPr>
        <w:t xml:space="preserve">Botswana, Madagascar, Mauritius, Nigeria, Grecia, Italia, România</w:t>
      </w:r>
    </w:p>
    <w:p w:rsidR="00000000" w:rsidDel="00000000" w:rsidP="00000000" w:rsidRDefault="00000000" w:rsidRPr="00000000" w14:paraId="00000012">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Autor: </w:t>
      </w:r>
      <w:r w:rsidDel="00000000" w:rsidR="00000000" w:rsidRPr="00000000">
        <w:rPr>
          <w:rFonts w:ascii="Poppins" w:cs="Poppins" w:eastAsia="Poppins" w:hAnsi="Poppins"/>
          <w:color w:val="1a1a1a"/>
          <w:rtl w:val="0"/>
        </w:rPr>
        <w:t xml:space="preserve">Connectus (GR)</w:t>
      </w:r>
      <w:r w:rsidDel="00000000" w:rsidR="00000000" w:rsidRPr="00000000">
        <w:rPr>
          <w:rtl w:val="0"/>
        </w:rPr>
      </w:r>
    </w:p>
    <w:p w:rsidR="00000000" w:rsidDel="00000000" w:rsidP="00000000" w:rsidRDefault="00000000" w:rsidRPr="00000000" w14:paraId="00000013">
      <w:pPr>
        <w:spacing w:after="40" w:before="40" w:lineRule="auto"/>
        <w:jc w:val="both"/>
        <w:rPr>
          <w:rFonts w:ascii="Poppins" w:cs="Poppins" w:eastAsia="Poppins" w:hAnsi="Poppins"/>
          <w:color w:val="1a1a1a"/>
        </w:rPr>
      </w:pPr>
      <w:r w:rsidDel="00000000" w:rsidR="00000000" w:rsidRPr="00000000">
        <w:rPr>
          <w:rFonts w:ascii="Poppins" w:cs="Poppins" w:eastAsia="Poppins" w:hAnsi="Poppins"/>
          <w:b w:val="1"/>
          <w:bCs w:val="1"/>
          <w:color w:val="2f6b3a"/>
          <w:rtl w:val="0"/>
        </w:rPr>
        <w:t xml:space="preserve">Versiune / Data: </w:t>
      </w:r>
      <w:r w:rsidDel="00000000" w:rsidR="00000000" w:rsidRPr="00000000">
        <w:rPr>
          <w:rFonts w:ascii="Poppins" w:cs="Poppins" w:eastAsia="Poppins" w:hAnsi="Poppins"/>
          <w:color w:val="1a1a1a"/>
          <w:rtl w:val="0"/>
        </w:rPr>
        <w:t xml:space="preserve">Versiunea 1.0, mai 2026</w:t>
      </w:r>
    </w:p>
    <w:p w:rsidR="00000000" w:rsidDel="00000000" w:rsidP="00000000" w:rsidRDefault="00000000" w:rsidRPr="00000000" w14:paraId="00000014">
      <w:pPr>
        <w:spacing w:after="80" w:before="120" w:lineRule="auto"/>
        <w:jc w:val="both"/>
        <w:rPr>
          <w:rFonts w:ascii="Poppins" w:cs="Poppins" w:eastAsia="Poppins" w:hAnsi="Poppins"/>
        </w:rPr>
        <w:sectPr>
          <w:footerReference r:id="rId8" w:type="default"/>
          <w:footerReference r:id="rId9" w:type="first"/>
          <w:pgSz w:h="16834" w:w="11909" w:orient="portrait"/>
          <w:pgMar w:bottom="1440" w:top="3124" w:left="849" w:right="1440" w:header="720" w:footer="720"/>
          <w:pgNumType w:start="1"/>
        </w:sectPr>
      </w:pPr>
      <w:r w:rsidDel="00000000" w:rsidR="00000000" w:rsidRPr="00000000">
        <w:rPr>
          <w:rFonts w:ascii="Poppins" w:cs="Poppins" w:eastAsia="Poppins" w:hAnsi="Poppins"/>
        </w:rPr>
        <w:drawing>
          <wp:anchor allowOverlap="1" behindDoc="0" distB="0" distT="0" distL="0" distR="0" hidden="0" layoutInCell="1" locked="0" relativeHeight="0" simplePos="0">
            <wp:simplePos x="0" y="0"/>
            <wp:positionH relativeFrom="leftMargin">
              <wp:posOffset>0</wp:posOffset>
            </wp:positionH>
            <wp:positionV relativeFrom="page">
              <wp:posOffset>13071601</wp:posOffset>
            </wp:positionV>
            <wp:extent cx="8796528" cy="805080"/>
            <wp:effectExtent b="0" l="0" r="0" t="0"/>
            <wp:wrapTopAndBottom distB="0" distT="0"/>
            <wp:docPr id="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8796528" cy="805080"/>
                    </a:xfrm>
                    <a:prstGeom prst="rect"/>
                    <a:ln/>
                  </pic:spPr>
                </pic:pic>
              </a:graphicData>
            </a:graphic>
          </wp:anchor>
        </w:drawing>
      </w:r>
      <w:r w:rsidDel="00000000" w:rsidR="00000000" w:rsidRPr="00000000">
        <w:rPr>
          <w:rtl w:val="0"/>
        </w:rPr>
      </w:r>
    </w:p>
    <w:p w:rsidR="00000000" w:rsidDel="00000000" w:rsidP="00000000" w:rsidRDefault="00000000" w:rsidRPr="00000000" w14:paraId="00000015">
      <w:pPr>
        <w:rPr>
          <w:rFonts w:ascii="Poppins" w:cs="Poppins" w:eastAsia="Poppins" w:hAnsi="Poppins"/>
          <w:color w:val="2f6b3a"/>
        </w:rPr>
      </w:pPr>
      <w:r w:rsidDel="00000000" w:rsidR="00000000" w:rsidRPr="00000000">
        <w:rPr>
          <w:rFonts w:ascii="Poppins" w:cs="Poppins" w:eastAsia="Poppins" w:hAnsi="Poppins"/>
          <w:b w:val="1"/>
          <w:bCs w:val="1"/>
          <w:color w:val="2f6b3a"/>
          <w:sz w:val="48"/>
          <w:szCs w:val="48"/>
          <w:rtl w:val="0"/>
        </w:rPr>
        <w:t xml:space="preserve">Cuprins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0" w:before="0" w:line="276" w:lineRule="auto"/>
        <w:ind w:left="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Rezumat executiv</w:t>
        <w:tab/>
        <w:t xml:space="preserve">3</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Cinci mesaje-cheie</w:t>
        <w:tab/>
        <w:t xml:space="preserve">3</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Șase recomandări principale</w:t>
        <w:tab/>
        <w:t xml:space="preserve">4</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0" w:before="0" w:line="276" w:lineRule="auto"/>
        <w:ind w:left="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1. Introducere</w:t>
        <w:tab/>
        <w:t xml:space="preserve">6</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1.1 Proiectul EMPOWER+: context și justificare</w:t>
        <w:tab/>
        <w:t xml:space="preserve">6</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1.2 Componența consorțiului</w:t>
        <w:tab/>
        <w:t xml:space="preserve">6</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1.3 Scopul și aria de acoperire a acestui raport</w:t>
        <w:tab/>
        <w:t xml:space="preserve">7</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1.4 Metodologia sintezei</w:t>
        <w:tab/>
        <w:t xml:space="preserve">7</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1.5 Prezentarea generală a țărilor partenere</w:t>
        <w:tab/>
        <w:t xml:space="preserve">7</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0" w:before="0" w:line="276" w:lineRule="auto"/>
        <w:ind w:left="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2. Concluziile pe țări ale Sarcinii 2.1: resurse, cadre și lacune</w:t>
        <w:tab/>
        <w:t xml:space="preserve">8</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2.1 Țările partenere din Africa Subsahariană</w:t>
        <w:tab/>
        <w:t xml:space="preserve">8</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2.1.1 Botswana</w:t>
        <w:tab/>
        <w:t xml:space="preserve">8</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2.1.2 Madagascar</w:t>
        <w:tab/>
        <w:t xml:space="preserve">10</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2.1.3 Mauritius</w:t>
        <w:tab/>
        <w:t xml:space="preserve">11</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2.1.4 Nigeria</w:t>
        <w:tab/>
        <w:t xml:space="preserve">12</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2.2 Țările partenere europene</w:t>
        <w:tab/>
        <w:t xml:space="preserve">13</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2.2.1 Grecia</w:t>
        <w:tab/>
        <w:t xml:space="preserve">13</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2.2.2 Italia</w:t>
        <w:tab/>
        <w:t xml:space="preserve">14</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2.2.3 România</w:t>
        <w:tab/>
        <w:t xml:space="preserve">15</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0" w:before="0" w:line="276" w:lineRule="auto"/>
        <w:ind w:left="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3. Concluziile pe țări ale Sarcinii 2.2: instrumente de participare și dovezi</w:t>
        <w:tab/>
        <w:t xml:space="preserve">17</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3.1 Țările din Africa Subsahariană</w:t>
        <w:tab/>
        <w:t xml:space="preserve">17</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3.1.1 Botswana</w:t>
        <w:tab/>
        <w:t xml:space="preserve">17</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3.1.2 Madagascar</w:t>
        <w:tab/>
        <w:t xml:space="preserve">18</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3.1.3 Mauritius</w:t>
        <w:tab/>
        <w:t xml:space="preserve">18</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3.1.4 Nigeria</w:t>
        <w:tab/>
        <w:t xml:space="preserve">20</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3.2 Țările partenere europene</w:t>
        <w:tab/>
        <w:t xml:space="preserve">21</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3.2.1 Grecia</w:t>
        <w:tab/>
        <w:t xml:space="preserve">21</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3.2.2 Italia</w:t>
        <w:tab/>
        <w:t xml:space="preserve">22</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3.2.3 România</w:t>
        <w:tab/>
        <w:t xml:space="preserve">23</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0" w:before="0" w:line="276" w:lineRule="auto"/>
        <w:ind w:left="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4. Analiză comparativă: tipare transnaționale și perspective transferabile</w:t>
        <w:tab/>
        <w:t xml:space="preserve">25</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4.1 Comparație transnațională</w:t>
        <w:tab/>
        <w:t xml:space="preserve">25</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4.1.1 Disponibilitatea și accesibilitatea resurselor</w:t>
        <w:tab/>
        <w:t xml:space="preserve">25</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4.1.2 Cadre juridice și de politici publice: permisive fără a fi prescriptive</w:t>
        <w:tab/>
        <w:t xml:space="preserve">25</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100" w:before="0" w:line="276" w:lineRule="auto"/>
        <w:ind w:left="44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4.1.3 Lacune universale: prezente în toate cele șapte țări</w:t>
        <w:tab/>
        <w:t xml:space="preserve">25</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4.2 Africa Subsahariană: analiza în interiorul grupului</w:t>
        <w:tab/>
        <w:t xml:space="preserve">26</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4.3 Europa: analiza în interiorul grupului</w:t>
        <w:tab/>
        <w:t xml:space="preserve">27</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4.4 Transferul de cunoștințe Europa–Africa Subsahariană: patru principii</w:t>
        <w:tab/>
        <w:t xml:space="preserve">30</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0" w:before="0" w:line="276" w:lineRule="auto"/>
        <w:ind w:left="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5. Recomandări transversale pentru proiectarea Parlamentelor Tinerilor Rurali</w:t>
        <w:tab/>
        <w:t xml:space="preserve">33</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Aria de recomandare 1: ancorare instituțională și recunoaștere juridică</w:t>
        <w:tab/>
        <w:t xml:space="preserve">33</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Aria de recomandare 2: de la consultare la co-decizie</w:t>
        <w:tab/>
        <w:t xml:space="preserve">34</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Aria de recomandare 3: accesibilitate rurală și incluziune radicală</w:t>
        <w:tab/>
        <w:t xml:space="preserve">34</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Aria de recomandare 4: sensibilitate culturală și parteneriat intergenerațional</w:t>
        <w:tab/>
        <w:t xml:space="preserve">35</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Aria de recomandare 5: finanțare sustenabilă și monitorizarea impactului</w:t>
        <w:tab/>
        <w:t xml:space="preserve">35</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Aria de recomandare 6: schimb de cunoștințe Europa–Africa Subsahariană</w:t>
        <w:tab/>
        <w:t xml:space="preserve">36</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0" w:before="0" w:line="276" w:lineRule="auto"/>
        <w:ind w:left="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6. Concluzie: argumentul pentru Parlamentele Tinerilor Rurali</w:t>
        <w:tab/>
        <w:t xml:space="preserve">37</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0" w:before="0" w:line="276" w:lineRule="auto"/>
        <w:ind w:left="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Anexa A: Profiluri sintetice de țară</w:t>
        <w:tab/>
        <w:t xml:space="preserve">39</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Botswana</w:t>
        <w:tab/>
        <w:t xml:space="preserve">39</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Madagascar</w:t>
        <w:tab/>
        <w:t xml:space="preserve">39</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Mauritius</w:t>
        <w:tab/>
        <w:t xml:space="preserve">40</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Nigeria</w:t>
        <w:tab/>
        <w:t xml:space="preserve">40</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Grecia</w:t>
        <w:tab/>
        <w:t xml:space="preserve">40</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Italia</w:t>
        <w:tab/>
        <w:t xml:space="preserve">41</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România</w:t>
        <w:tab/>
        <w:t xml:space="preserve">41</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0" w:before="0" w:line="276" w:lineRule="auto"/>
        <w:ind w:left="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Anexa B: Glosar de termeni-cheie și abrevieri</w:t>
        <w:tab/>
        <w:t xml:space="preserve">42</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9"/>
        </w:tabs>
        <w:spacing w:after="0" w:before="0" w:line="276" w:lineRule="auto"/>
        <w:ind w:left="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Bibliografie</w:t>
        <w:tab/>
        <w:t xml:space="preserve">45</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Surse primare: Rapoarte de țară EMPOWER+</w:t>
        <w:tab/>
        <w:t xml:space="preserve">45</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2"/>
          <w:szCs w:val="22"/>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Cadre de politici publice și standarde internaționale</w:t>
        <w:tab/>
        <w:t xml:space="preserve">45</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00" w:before="0" w:line="276" w:lineRule="auto"/>
        <w:ind w:left="220" w:right="0" w:firstLine="0"/>
        <w:jc w:val="left"/>
        <w:rPr>
          <w:rFonts w:ascii="Poppins" w:cs="Poppins" w:eastAsia="Poppins" w:hAnsi="Poppins"/>
          <w:i w:val="0"/>
          <w:iCs w:val="0"/>
          <w:smallCaps w:val="0"/>
          <w:strike w:val="0"/>
          <w:color w:val="000000"/>
          <w:sz w:val="24"/>
          <w:szCs w:val="24"/>
          <w:u w:val="none"/>
          <w:shd w:fill="auto" w:val="clear"/>
          <w:vertAlign w:val="baseline"/>
        </w:rPr>
      </w:pPr>
      <w:r w:rsidDel="00000000" w:rsidR="00000000" w:rsidRPr="00000000">
        <w:rPr>
          <w:rFonts w:ascii="Poppins" w:cs="Poppins" w:eastAsia="Poppins" w:hAnsi="Poppins"/>
          <w:i w:val="0"/>
          <w:iCs w:val="0"/>
          <w:smallCaps w:val="0"/>
          <w:strike w:val="0"/>
          <w:color w:val="000000"/>
          <w:sz w:val="22"/>
          <w:szCs w:val="22"/>
          <w:u w:val="none"/>
          <w:shd w:fill="auto" w:val="clear"/>
          <w:vertAlign w:val="baseline"/>
          <w:rtl w:val="0"/>
        </w:rPr>
        <w:t xml:space="preserve">Literatură academică și instituțională</w:t>
        <w:tab/>
        <w:t xml:space="preserve">46</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oppins" w:cs="Poppins" w:eastAsia="Poppins" w:hAnsi="Poppins"/>
          <w:i w:val="0"/>
          <w:iCs w:val="0"/>
          <w:smallCaps w:val="0"/>
          <w:strike w:val="0"/>
          <w:color w:val="2f6b3a"/>
          <w:sz w:val="22"/>
          <w:szCs w:val="22"/>
          <w:u w:val="none"/>
          <w:shd w:fill="auto" w:val="clear"/>
          <w:vertAlign w:val="baseline"/>
        </w:rPr>
      </w:pPr>
      <w:r w:rsidDel="00000000" w:rsidR="00000000" w:rsidRPr="00000000">
        <w:br w:type="page"/>
      </w:r>
      <w:r w:rsidDel="00000000" w:rsidR="00000000" w:rsidRPr="00000000">
        <w:rPr>
          <w:rFonts w:ascii="Poppins" w:cs="Poppins" w:eastAsia="Poppins" w:hAnsi="Poppins"/>
          <w:i w:val="0"/>
          <w:iCs w:val="0"/>
          <w:smallCaps w:val="0"/>
          <w:strike w:val="0"/>
          <w:color w:val="2f6b3a"/>
          <w:sz w:val="22"/>
          <w:szCs w:val="22"/>
          <w:u w:val="none"/>
          <w:shd w:fill="auto" w:val="clear"/>
          <w:vertAlign w:val="baseline"/>
          <w:rtl w:val="0"/>
        </w:rPr>
        <w:t xml:space="preserve">Rezumat executiv</w:t>
      </w:r>
    </w:p>
    <w:p w:rsidR="00000000" w:rsidDel="00000000" w:rsidP="00000000" w:rsidRDefault="00000000" w:rsidRPr="00000000" w14:paraId="0000005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Acest Raport de sinteză reprezintă principalul rezultat analitic al Pachetului de lucru 2 al proiectului EMPOWER+, „Empowering Rural Youth: Establishing and Strengthening the Rural Youth Parliament in Sub-Saharan Africa” / „Capacitarea tinerilor din mediul rural: înființarea și consolidarea Parlamentului Tinerilor Rurali în Africa Subsahariană” (ERASMUS-YOUTH-2025-CB-SSA, nr. proiect 101243075). Raportul consolidează concluziile rezultate din paisprezece exerciții de cercetare la nivel de țară, finalizate între 2025 și 2026, în șapte țări partenere din Africa Subsahariană și Europa: Botswana, Madagascar, Mauritius, Nigeria, Grecia, Italia și România.</w:t>
      </w:r>
    </w:p>
    <w:p w:rsidR="00000000" w:rsidDel="00000000" w:rsidP="00000000" w:rsidRDefault="00000000" w:rsidRPr="00000000" w14:paraId="00000052">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Înainte de proiectarea Parlamentelor Tinerilor Rurali (RYPs), consorțiul EMPOWER+ a investit în mod sistematic în înțelegerea contextului. Sarcina 2.1 a solicitat fiecărui partener să cartografieze resursele disponibile, cadrele juridice și de politici publice, precum și bunele practici documentate privind participarea tinerilor din mediul rural. Sarcina 2.2 a solicitat fiecărui partener să publice un raport analitic care să cartografieze instrumentele de participare a tinerilor la politicile publice, să analizeze în profunzime cadrele juridice, să prezinte concluziile focus-grupurilor și să formuleze recomandări la nivel de țară. Împreună, aceste paisprezece documente constituie cea mai cuprinzătoare bază comparativă de dovezi privind participarea tinerilor din mediul rural în cele șapte țări partenere EMPOWER+, elaborată până în prezent.</w:t>
      </w:r>
    </w:p>
    <w:p w:rsidR="00000000" w:rsidDel="00000000" w:rsidP="00000000" w:rsidRDefault="00000000" w:rsidRPr="00000000" w14:paraId="00000053">
      <w:pPr>
        <w:spacing w:after="100" w:before="6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054">
      <w:pPr>
        <w:rPr>
          <w:rFonts w:ascii="Poppins" w:cs="Poppins" w:eastAsia="Poppins" w:hAnsi="Poppins"/>
          <w:b w:val="1"/>
          <w:bCs w:val="1"/>
          <w:color w:val="2f6b3a"/>
          <w:sz w:val="36"/>
          <w:szCs w:val="36"/>
        </w:rPr>
      </w:pPr>
      <w:r w:rsidDel="00000000" w:rsidR="00000000" w:rsidRPr="00000000">
        <w:rPr>
          <w:rFonts w:ascii="Poppins" w:cs="Poppins" w:eastAsia="Poppins" w:hAnsi="Poppins"/>
          <w:b w:val="1"/>
          <w:bCs w:val="1"/>
          <w:color w:val="2f6b3a"/>
          <w:sz w:val="36"/>
          <w:szCs w:val="36"/>
          <w:rtl w:val="0"/>
        </w:rPr>
        <w:t xml:space="preserve">Cinci mesaje-cheie</w:t>
      </w:r>
    </w:p>
    <w:p w:rsidR="00000000" w:rsidDel="00000000" w:rsidP="00000000" w:rsidRDefault="00000000" w:rsidRPr="00000000" w14:paraId="00000055">
      <w:pPr>
        <w:rPr>
          <w:rFonts w:ascii="Poppins" w:cs="Poppins" w:eastAsia="Poppins" w:hAnsi="Poppins"/>
          <w:b w:val="1"/>
          <w:bCs w:val="1"/>
          <w:color w:val="2f6b3a"/>
          <w:sz w:val="36"/>
          <w:szCs w:val="36"/>
        </w:rPr>
      </w:pPr>
      <w:r w:rsidDel="00000000" w:rsidR="00000000" w:rsidRPr="00000000">
        <w:rPr>
          <w:rtl w:val="0"/>
        </w:rPr>
      </w:r>
    </w:p>
    <w:p w:rsidR="00000000" w:rsidDel="00000000" w:rsidP="00000000" w:rsidRDefault="00000000" w:rsidRPr="00000000" w14:paraId="00000056">
      <w:pPr>
        <w:rPr>
          <w:rFonts w:ascii="Poppins" w:cs="Poppins" w:eastAsia="Poppins" w:hAnsi="Poppins"/>
          <w:color w:val="b7c3a1"/>
        </w:rPr>
      </w:pPr>
      <w:r w:rsidDel="00000000" w:rsidR="00000000" w:rsidRPr="00000000">
        <w:rPr>
          <w:rFonts w:ascii="Poppins" w:cs="Poppins" w:eastAsia="Poppins" w:hAnsi="Poppins"/>
          <w:b w:val="1"/>
          <w:bCs w:val="1"/>
          <w:color w:val="b7c3a1"/>
          <w:sz w:val="28"/>
          <w:szCs w:val="28"/>
          <w:rtl w:val="0"/>
        </w:rPr>
        <w:t xml:space="preserve">1.</w:t>
      </w:r>
      <w:r w:rsidDel="00000000" w:rsidR="00000000" w:rsidRPr="00000000">
        <w:rPr>
          <w:rFonts w:ascii="Poppins" w:cs="Poppins" w:eastAsia="Poppins" w:hAnsi="Poppins"/>
          <w:rtl w:val="0"/>
        </w:rPr>
        <w:t xml:space="preserve"> </w:t>
      </w:r>
      <w:r w:rsidDel="00000000" w:rsidR="00000000" w:rsidRPr="00000000">
        <w:rPr>
          <w:rFonts w:ascii="Poppins" w:cs="Poppins" w:eastAsia="Poppins" w:hAnsi="Poppins"/>
          <w:b w:val="1"/>
          <w:bCs w:val="1"/>
          <w:color w:val="b7c3a1"/>
          <w:sz w:val="28"/>
          <w:szCs w:val="28"/>
          <w:rtl w:val="0"/>
        </w:rPr>
        <w:t xml:space="preserve">Tinerii din mediul rural sunt excluși de la deciziile care le modelează viața</w:t>
      </w:r>
      <w:r w:rsidDel="00000000" w:rsidR="00000000" w:rsidRPr="00000000">
        <w:rPr>
          <w:rtl w:val="0"/>
        </w:rPr>
      </w:r>
    </w:p>
    <w:p w:rsidR="00000000" w:rsidDel="00000000" w:rsidP="00000000" w:rsidRDefault="00000000" w:rsidRPr="00000000" w14:paraId="00000057">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În fiecare țară parteneră, drepturile formale de participare la guvernanță există pe hârtie, însă accesul practic este sever limitat pentru tinerii din mediul rural. Izolarea geografică, lipsa unui transport adecvat, informațiile limitate privind oportunitățile de participare, dificultățile economice și normele culturale care îi poziționează pe tineri ca fiind prea tineri pentru a conduce se combină și îi mențin pe tinerii din mediul rural la marginea guvernanței formale. Această excludere nu este accidentală; este rezultatul previzibil al unor sisteme de participare concepute fără a avea în vedere tinerii din mediul rural.</w:t>
      </w:r>
    </w:p>
    <w:p w:rsidR="00000000" w:rsidDel="00000000" w:rsidP="00000000" w:rsidRDefault="00000000" w:rsidRPr="00000000" w14:paraId="00000058">
      <w:pPr>
        <w:rPr>
          <w:rFonts w:ascii="Poppins" w:cs="Poppins" w:eastAsia="Poppins" w:hAnsi="Poppins"/>
          <w:color w:val="b7c3a1"/>
        </w:rPr>
      </w:pPr>
      <w:r w:rsidDel="00000000" w:rsidR="00000000" w:rsidRPr="00000000">
        <w:rPr>
          <w:rFonts w:ascii="Poppins" w:cs="Poppins" w:eastAsia="Poppins" w:hAnsi="Poppins"/>
          <w:b w:val="1"/>
          <w:bCs w:val="1"/>
          <w:color w:val="b7c3a1"/>
          <w:sz w:val="28"/>
          <w:szCs w:val="28"/>
          <w:rtl w:val="0"/>
        </w:rPr>
        <w:t xml:space="preserve">2. Participarea este răspândită, dar rareori semnificativă</w:t>
      </w:r>
      <w:r w:rsidDel="00000000" w:rsidR="00000000" w:rsidRPr="00000000">
        <w:rPr>
          <w:rtl w:val="0"/>
        </w:rPr>
      </w:r>
    </w:p>
    <w:p w:rsidR="00000000" w:rsidDel="00000000" w:rsidP="00000000" w:rsidRDefault="00000000" w:rsidRPr="00000000" w14:paraId="00000059">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În toate cele șapte țări, tinerii participă la întâlniri comunitare, fac parte din consilii consultative și contribuie la procese de consultare. Ceea ce dovezile arată în mod constant este că această participare este predominant consultativă, nu una care influențează decizia. Contribuțiile sunt rareori urmărite, feedbackul din partea factorilor de decizie este slab sau absent, iar legătura cauzală vizibilă dintre contribuțiile tinerilor și deciziile concrete de politică publică lipsește aproape peste tot. Acest model de participare simbolică generează deziluzie și retragere din implicarea civică.</w:t>
      </w:r>
    </w:p>
    <w:p w:rsidR="00000000" w:rsidDel="00000000" w:rsidP="00000000" w:rsidRDefault="00000000" w:rsidRPr="00000000" w14:paraId="0000005A">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5B">
      <w:pPr>
        <w:rPr>
          <w:rFonts w:ascii="Poppins" w:cs="Poppins" w:eastAsia="Poppins" w:hAnsi="Poppins"/>
          <w:color w:val="b7c3a1"/>
        </w:rPr>
      </w:pPr>
      <w:r w:rsidDel="00000000" w:rsidR="00000000" w:rsidRPr="00000000">
        <w:rPr>
          <w:rFonts w:ascii="Poppins" w:cs="Poppins" w:eastAsia="Poppins" w:hAnsi="Poppins"/>
          <w:b w:val="1"/>
          <w:bCs w:val="1"/>
          <w:color w:val="b7c3a1"/>
          <w:sz w:val="28"/>
          <w:szCs w:val="28"/>
          <w:rtl w:val="0"/>
        </w:rPr>
        <w:t xml:space="preserve">3. Structurile comunitare sunt cele mai de încredere puncte de acces</w:t>
      </w:r>
      <w:r w:rsidDel="00000000" w:rsidR="00000000" w:rsidRPr="00000000">
        <w:rPr>
          <w:rtl w:val="0"/>
        </w:rPr>
      </w:r>
    </w:p>
    <w:p w:rsidR="00000000" w:rsidDel="00000000" w:rsidP="00000000" w:rsidRDefault="00000000" w:rsidRPr="00000000" w14:paraId="0000005C">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Cele mai accesibile și mai de încredere spații de participare pentru tinerii din mediul rural nu sunt structurile formale ale statului, ci instituțiile comunitare: adunările Kgotla și Comitetele de Dezvoltare a Satelor în Botswana; asociațiile pe grupe de vârstă și leadershipul tradițional al tinerilor Sarkin Samari în Nigeria; grupurile de cercetași și sistemul comunitar de pază andrimasompokonolona în Madagascar; rețelele YUVA și Maisons Familiales Rurales în Mauritius; Grupurile Locale de Sprijin YEPP Italia în Italia; modelul Parlamentului Tinerilor Rurali al GAL Napoca Porolissum în România; și Consiliile Municipale ale Tinerilor în Grecia. Parlamentele Tinerilor Rurali eficiente trebuie să fie ancorate în aceste realități comunitare.</w:t>
      </w:r>
    </w:p>
    <w:p w:rsidR="00000000" w:rsidDel="00000000" w:rsidP="00000000" w:rsidRDefault="00000000" w:rsidRPr="00000000" w14:paraId="0000005D">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5E">
      <w:pPr>
        <w:rPr>
          <w:rFonts w:ascii="Poppins" w:cs="Poppins" w:eastAsia="Poppins" w:hAnsi="Poppins"/>
          <w:color w:val="b7c3a1"/>
        </w:rPr>
      </w:pPr>
      <w:r w:rsidDel="00000000" w:rsidR="00000000" w:rsidRPr="00000000">
        <w:rPr>
          <w:rFonts w:ascii="Poppins" w:cs="Poppins" w:eastAsia="Poppins" w:hAnsi="Poppins"/>
          <w:b w:val="1"/>
          <w:bCs w:val="1"/>
          <w:color w:val="b7c3a1"/>
          <w:sz w:val="28"/>
          <w:szCs w:val="28"/>
          <w:rtl w:val="0"/>
        </w:rPr>
        <w:t xml:space="preserve">4. Lipsurile de finanțare reprezintă o constrângere majoră peste tot</w:t>
      </w:r>
      <w:r w:rsidDel="00000000" w:rsidR="00000000" w:rsidRPr="00000000">
        <w:rPr>
          <w:rtl w:val="0"/>
        </w:rPr>
      </w:r>
    </w:p>
    <w:p w:rsidR="00000000" w:rsidDel="00000000" w:rsidP="00000000" w:rsidRDefault="00000000" w:rsidRPr="00000000" w14:paraId="0000005F">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Cheltuielile publice dedicate tinerilor sunt cronic insuficiente în toate cele șapte țări partenere. În Nigeria, cheltuielile destinate tinerilor reprezintă sub un procent din bugetele statelor în majoritatea statelor, iar cheltuiala per tânăr în statul Kogi este de numai 4.299 NGN. În Madagascar, tinerii nu își pot permite costurile de transport pentru a participa la întâlniri. Chiar și în țările partenere europene, structurile de participare sunt susținute prin finanțări bazate pe proiecte, și nu prin linii bugetare instituționale, ceea ce creează fragilitate structurală și implicare episodică. Participarea sustenabilă necesită resurse previzibile și dedicate, care lipsesc în mod constant.</w:t>
      </w:r>
    </w:p>
    <w:p w:rsidR="00000000" w:rsidDel="00000000" w:rsidP="00000000" w:rsidRDefault="00000000" w:rsidRPr="00000000" w14:paraId="00000060">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61">
      <w:pPr>
        <w:rPr>
          <w:rFonts w:ascii="Poppins" w:cs="Poppins" w:eastAsia="Poppins" w:hAnsi="Poppins"/>
          <w:b w:val="1"/>
          <w:bCs w:val="1"/>
          <w:color w:val="b7c3a1"/>
          <w:sz w:val="28"/>
          <w:szCs w:val="28"/>
        </w:rPr>
      </w:pPr>
      <w:r w:rsidDel="00000000" w:rsidR="00000000" w:rsidRPr="00000000">
        <w:rPr>
          <w:rFonts w:ascii="Poppins" w:cs="Poppins" w:eastAsia="Poppins" w:hAnsi="Poppins"/>
          <w:b w:val="1"/>
          <w:bCs w:val="1"/>
          <w:color w:val="b7c3a1"/>
          <w:sz w:val="28"/>
          <w:szCs w:val="28"/>
          <w:rtl w:val="0"/>
        </w:rPr>
        <w:t xml:space="preserve">5. Europa are modele testate; Africa Subsahariană are energia</w:t>
      </w:r>
    </w:p>
    <w:p w:rsidR="00000000" w:rsidDel="00000000" w:rsidP="00000000" w:rsidRDefault="00000000" w:rsidRPr="00000000" w14:paraId="00000062">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5p5gfvh4w8cw" w:id="0"/>
      <w:bookmarkEnd w:id="0"/>
      <w:r w:rsidDel="00000000" w:rsidR="00000000" w:rsidRPr="00000000">
        <w:rPr>
          <w:rFonts w:ascii="Poppins" w:cs="Poppins" w:eastAsia="Poppins" w:hAnsi="Poppins"/>
          <w:b w:val="0"/>
          <w:bCs w:val="0"/>
          <w:color w:val="1a1a1a"/>
          <w:sz w:val="22"/>
          <w:szCs w:val="22"/>
          <w:rtl w:val="0"/>
        </w:rPr>
        <w:t xml:space="preserve">Metodologia Parlamentului Tinerilor Rurali din România, dezvoltată în teritoriul montan al GAL Napoca Porolissum, oferă cel mai direct aplicabil model european pentru adaptare în Africa Subsahariană. Grupurile Locale de Sprijin YEPP din Italia oferă o metodologie sofisticată de capacitare, care combină asigurarea de resurse, asumarea reală de către tineri și investiția relațională pe termen lung. Africa Subsahariană aduce o energie comunitară extraordinară, o vitalitate asociativă profundă și un interes unanim pentru Parlamentele Tinerilor Rurali în rândul tuturor actorilor consultați. EMPOWER+ facilitează un transfer de cunoștințe real, respectuos și bidirecțional între aceste două contexte continentale.</w:t>
      </w:r>
    </w:p>
    <w:p w:rsidR="00000000" w:rsidDel="00000000" w:rsidP="00000000" w:rsidRDefault="00000000" w:rsidRPr="00000000" w14:paraId="00000063">
      <w:pPr>
        <w:pStyle w:val="Heading2"/>
        <w:keepNext w:val="1"/>
        <w:spacing w:after="80" w:before="28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Șase recomandări principale</w:t>
      </w:r>
    </w:p>
    <w:p w:rsidR="00000000" w:rsidDel="00000000" w:rsidP="00000000" w:rsidRDefault="00000000" w:rsidRPr="00000000" w14:paraId="00000064">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Ancorarea Parlamentelor Tinerilor Rurali la nivel local, la nivel de ward, district sau zonă de administrație locală, acolo unde tinerii din mediul rural trăiesc efectiv, asigurând încă de la început recunoaștere instituțională și finanțare publică dedicată.</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Trecerea structurală de la consultare la co-decizie. Proiectarea RYPs trebuie să includă canale formale pentru transmiterea propunerilor către autorități, mecanisme obligatorii de răspuns și monitorizare publică a măsurii în care contribuțiile tinerilor conduc la acțiuni trasabile.</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Proiectarea tuturor activităților de participare în funcție de realitatea rurală: asigurarea faptului că momentul, locația, limba și costul participării sunt cu adevărat compatibile cu mijloacele de trai din mediul rural și oferirea sprijinului pentru transport și subzistență ca practică standard.</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Colaborarea cu liderii tradiționali și comunitari ca parteneri activi în proiectarea, lansarea și guvernanța RYPs, nu ca susținători pasivi. În contextul Africii Subsahariene, legitimitatea autorității tradiționale este o resursă care face diferența între sustenabilitate și colaps.</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Integrarea incluziunii celor mai excluși încă din etapa de proiectare a RYPs: cotele minime pentru tinere femei, tineri cu dizabilități, tineri care au abandonat școala și tineri din cele mai izolate comunități trebuie să fie cerințe constituționale, nu elemente aspiraționale adăugate ulterior.</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Planificarea activă a sustenabilității dincolo de ciclul proiectului. Formarea facilitatorilor locali, integrarea activităților RYPs în calendarele de guvernanță și construirea rețelelor de tip peer-to-peer. Măsura succesului este ceea ce rămâne după încheierea EMPOWER+.</w:t>
      </w:r>
    </w:p>
    <w:p w:rsidR="00000000" w:rsidDel="00000000" w:rsidP="00000000" w:rsidRDefault="00000000" w:rsidRPr="00000000" w14:paraId="0000006B">
      <w:pPr>
        <w:rPr>
          <w:rFonts w:ascii="Poppins" w:cs="Poppins" w:eastAsia="Poppins" w:hAnsi="Poppins"/>
          <w:i w:val="1"/>
          <w:iCs w:val="1"/>
        </w:rPr>
      </w:pPr>
      <w:r w:rsidDel="00000000" w:rsidR="00000000" w:rsidRPr="00000000">
        <w:rPr>
          <w:rtl w:val="0"/>
        </w:rPr>
      </w:r>
    </w:p>
    <w:p w:rsidR="00000000" w:rsidDel="00000000" w:rsidP="00000000" w:rsidRDefault="00000000" w:rsidRPr="00000000" w14:paraId="0000006C">
      <w:pPr>
        <w:rPr>
          <w:rFonts w:ascii="Poppins" w:cs="Poppins" w:eastAsia="Poppins" w:hAnsi="Poppins"/>
        </w:rPr>
      </w:pPr>
      <w:r w:rsidDel="00000000" w:rsidR="00000000" w:rsidRPr="00000000">
        <w:rPr>
          <w:rFonts w:ascii="Poppins" w:cs="Poppins" w:eastAsia="Poppins" w:hAnsi="Poppins"/>
          <w:i w:val="1"/>
          <w:iCs w:val="1"/>
          <w:rtl w:val="0"/>
        </w:rPr>
        <w:t xml:space="preserve">Concluziile analitice complete, dovezile la nivel de țară, analiza comparativă și recomandările detaliate care susțin aceste concluzii sunt prezentate în Secțiunile 1–6 ale acestui raport. Anexa A oferă profiluri sintetice de țară; Anexa B oferă un glosar al termenilor-cheie și al abrevierilor.</w:t>
      </w: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-228599</wp:posOffset>
                </wp:positionH>
                <wp:positionV relativeFrom="paragraph">
                  <wp:posOffset>47625</wp:posOffset>
                </wp:positionV>
                <wp:extent cx="5962650" cy="1077216"/>
                <wp:effectExtent b="0" l="0" r="0" t="0"/>
                <wp:wrapNone/>
                <wp:docPr id="2" name=""/>
                <a:graphic>
                  <a:graphicData uri="http://schemas.microsoft.com/office/word/2010/wordprocessingShape">
                    <wps:wsp>
                      <wps:cNvSpPr/>
                      <wps:cNvPr id="3" name="Shape 3"/>
                      <wps:spPr>
                        <a:xfrm>
                          <a:off x="2308737" y="3378218"/>
                          <a:ext cx="6074526" cy="803564"/>
                        </a:xfrm>
                        <a:prstGeom prst="rect">
                          <a:avLst/>
                        </a:prstGeom>
                        <a:noFill/>
                        <a:ln cap="flat" cmpd="sng" w="9525">
                          <a:solidFill>
                            <a:schemeClr val="accent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-228599</wp:posOffset>
                </wp:positionH>
                <wp:positionV relativeFrom="paragraph">
                  <wp:posOffset>47625</wp:posOffset>
                </wp:positionV>
                <wp:extent cx="5962650" cy="1077216"/>
                <wp:effectExtent b="0" l="0" r="0" t="0"/>
                <wp:wrapNone/>
                <wp:docPr id="2"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5962650" cy="1077216"/>
                        </a:xfrm>
                        <a:prstGeom prst="rect"/>
                        <a:ln/>
                      </pic:spPr>
                    </pic:pic>
                  </a:graphicData>
                </a:graphic>
              </wp:anchor>
            </w:drawing>
          </mc:Fallback>
        </mc:AlternateContent>
      </w:r>
    </w:p>
    <w:p w:rsidR="00000000" w:rsidDel="00000000" w:rsidP="00000000" w:rsidRDefault="00000000" w:rsidRPr="00000000" w14:paraId="0000006D">
      <w:pPr>
        <w:pStyle w:val="Heading1"/>
        <w:keepNext w:val="1"/>
        <w:spacing w:after="120" w:before="360" w:lineRule="auto"/>
        <w:rPr>
          <w:rFonts w:ascii="Poppins" w:cs="Poppins" w:eastAsia="Poppins" w:hAnsi="Poppins"/>
          <w:color w:val="2f6b3a"/>
        </w:rPr>
      </w:pPr>
      <w:bookmarkStart w:colFirst="0" w:colLast="0" w:name="_heading=h.o4yb7l7s8hks" w:id="1"/>
      <w:bookmarkEnd w:id="1"/>
      <w:r w:rsidDel="00000000" w:rsidR="00000000" w:rsidRPr="00000000">
        <w:rPr>
          <w:rFonts w:ascii="Poppins" w:cs="Poppins" w:eastAsia="Poppins" w:hAnsi="Poppins"/>
          <w:color w:val="2f6b3a"/>
          <w:rtl w:val="0"/>
        </w:rPr>
        <w:t xml:space="preserve">1. Introducere</w:t>
      </w:r>
    </w:p>
    <w:p w:rsidR="00000000" w:rsidDel="00000000" w:rsidP="00000000" w:rsidRDefault="00000000" w:rsidRPr="00000000" w14:paraId="0000006E">
      <w:pPr>
        <w:spacing w:after="100" w:before="60" w:lineRule="auto"/>
        <w:jc w:val="both"/>
        <w:rPr>
          <w:rFonts w:ascii="Poppins" w:cs="Poppins" w:eastAsia="Poppins" w:hAnsi="Poppins"/>
          <w:b w:val="1"/>
          <w:bCs w:val="1"/>
          <w:color w:val="b7c3a1"/>
          <w:sz w:val="36"/>
          <w:szCs w:val="36"/>
        </w:rPr>
      </w:pPr>
      <w:r w:rsidDel="00000000" w:rsidR="00000000" w:rsidRPr="00000000">
        <w:rPr>
          <w:rFonts w:ascii="Poppins" w:cs="Poppins" w:eastAsia="Poppins" w:hAnsi="Poppins"/>
          <w:b w:val="1"/>
          <w:bCs w:val="1"/>
          <w:color w:val="b7c3a1"/>
          <w:sz w:val="36"/>
          <w:szCs w:val="36"/>
          <w:rtl w:val="0"/>
        </w:rPr>
        <w:t xml:space="preserve">1.1 Proiectul EMPOWER+: context și rațiune</w:t>
      </w:r>
    </w:p>
    <w:p w:rsidR="00000000" w:rsidDel="00000000" w:rsidP="00000000" w:rsidRDefault="00000000" w:rsidRPr="00000000" w14:paraId="0000006F">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EMPOWER+ este un proiect de Consolidare a capacităților în domeniul tineretului, finanțat prin programul Erasmus+ al Uniunii Europene (ERASMUS-YOUTH-2025-CB-SSA, nr. proiect 101243075). Proiectul reunește un consorțiu format din șapte țări, acoperind Africa Subsahariană și Europa, unite printr-un angajament comun de a consolida participarea civică și capacitatea democratică de acțiune a tinerilor care trăiesc în comunități rurale.</w:t>
      </w:r>
    </w:p>
    <w:p w:rsidR="00000000" w:rsidDel="00000000" w:rsidP="00000000" w:rsidRDefault="00000000" w:rsidRPr="00000000" w14:paraId="00000070">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Proiectul a apărut dintr-o lacună clar documentată în peisajul cooperării internaționale pentru dezvoltarea tineretului: deși participarea tinerilor a fost o prioritate declarată atât a Strategiei UE pentru tineret, cât și a cadrelor continentale africane de politici publice de peste două decenii, dimensiunea rurală a excluderii tinerilor de la guvernanță a rămas în mod persistent insuficient abordată. Parlamentele urbane ale tinerilor, consiliile naționale ale tinerilor și platformele digitale de participare s-au multiplicat, în timp ce barierele structurale cu care se confruntă tinerii din mediul rural au rămas în mare parte neschimbate. EMPOWER+ este conceput pentru a aborda această lacună în mod direct și sistematic.</w:t>
      </w:r>
    </w:p>
    <w:p w:rsidR="00000000" w:rsidDel="00000000" w:rsidP="00000000" w:rsidRDefault="00000000" w:rsidRPr="00000000" w14:paraId="0000007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Mecanismul central al proiectului este Parlamentul Tinerilor Rurali: un organism de guvernanță structurat și participativ, care funcționează la nivel subnațional și care permite tinerilor din mediul rural să dezbată problemele care le afectează comunitățile, să formuleze propuneri concrete și să se implice într-un dialog responsabil cu factorii de decizie locali, regionali și naționali. Parlamentele Tinerilor Rurali sunt menite să funcționeze ca infrastructură de guvernanță sustenabilă, nu ca evenimente punctuale de proiect sau gesturi simbolice de incluziune.</w:t>
      </w:r>
    </w:p>
    <w:p w:rsidR="00000000" w:rsidDel="00000000" w:rsidP="00000000" w:rsidRDefault="00000000" w:rsidRPr="00000000" w14:paraId="00000072">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Proiectul funcționează pe două axe interconectate. În Africa Subsahariană, Botswana, Madagascar, Mauritius și Nigeria, proiectul lucrează pentru înființarea și consolidarea RYPs, abordând lacunele structurale privind participarea tinerilor din mediul rural documentate printr-o analiză a nevoilor realizată în februarie 2025. În Europa, Grecia, Italia și România contribuie cu cunoștințe, metodologii testate și experiență instituțională pentru a sprijini procesele de proiectare din Africa Subsahariană, consolidând în același timp practicile interne de participare a tinerilor din mediul rural. Transferul de cunoștințe aflat în centrul EMPOWER+ este conceput explicit ca fiind bidirecțional.</w:t>
      </w:r>
    </w:p>
    <w:p w:rsidR="00000000" w:rsidDel="00000000" w:rsidP="00000000" w:rsidRDefault="00000000" w:rsidRPr="00000000" w14:paraId="00000073">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1.2 Componența consorțiului</w:t>
      </w:r>
    </w:p>
    <w:p w:rsidR="00000000" w:rsidDel="00000000" w:rsidP="00000000" w:rsidRDefault="00000000" w:rsidRPr="00000000" w14:paraId="00000074">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s63hmv3lwaui" w:id="2"/>
      <w:bookmarkEnd w:id="2"/>
      <w:r w:rsidDel="00000000" w:rsidR="00000000" w:rsidRPr="00000000">
        <w:rPr>
          <w:rFonts w:ascii="Poppins" w:cs="Poppins" w:eastAsia="Poppins" w:hAnsi="Poppins"/>
          <w:b w:val="0"/>
          <w:bCs w:val="0"/>
          <w:color w:val="1a1a1a"/>
          <w:sz w:val="22"/>
          <w:szCs w:val="22"/>
          <w:rtl w:val="0"/>
        </w:rPr>
        <w:t xml:space="preserve">Consorțiul a fost construit pentru a maximiza complementaritatea expertizei și a rolurilor instituționale. GAL Napoca Porolissum (România) are rol de coordonator și aduce experiență directă în proiectarea și implementarea unui model de Parlament al Tinerilor Rurali într-un teritoriu montan dispersat. Connectus (Grecia) coordonează Pachetul de lucru 2 și contribuie cu expertiză în coordonarea cercetării, analiză și politici de tineret. A Rocca (Italia) aduce o experiență extinsă în managementul proiectelor Erasmus+ și Corpul European de Solidaritate din Sicilia. Pe partea Africii Subsahariene, Tlokweng District Council și Joseph Mwelwa Consult (Botswana) aduc expertiză în administrație locală și societate civilă; CEMEA Madagascar aduce metodologia educației comunitare; Federation des Maisons Familiales Rurales de Maurice et Rodrigues aduce experiență în formarea profesională rurală; iar System Strategy and Policy Lab (Nigeria) aduce expertiză în cercetare de politici publice și guvernanță a tinerilor.</w:t>
      </w:r>
    </w:p>
    <w:p w:rsidR="00000000" w:rsidDel="00000000" w:rsidP="00000000" w:rsidRDefault="00000000" w:rsidRPr="00000000" w14:paraId="00000075">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1.3 Scopul și aria de acoperire a acestui raport</w:t>
      </w:r>
    </w:p>
    <w:p w:rsidR="00000000" w:rsidDel="00000000" w:rsidP="00000000" w:rsidRDefault="00000000" w:rsidRPr="00000000" w14:paraId="00000076">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This Synthesis Report is Deliverable D2.1 of the EMPOWER+ project, consolidating findings from fourteen country-level research documents produced under Tasks 2.1 and 2.2, spanning all seven partner countries across Sub-Saharan Africa and Europe.</w:t>
      </w:r>
    </w:p>
    <w:p w:rsidR="00000000" w:rsidDel="00000000" w:rsidP="00000000" w:rsidRDefault="00000000" w:rsidRPr="00000000" w14:paraId="00000077">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Task 2.1 required each partner country organisation to compile a comprehensive country report outlining available resources, legal and policy frameworks, and documented best practices for rural youth participation, and to identify gaps and areas requiring targeted development. Task 2.2 required each partner to produce an analytical report mapping youth policy participation tools, analysing legal frameworks with specific attention to rural relevance and implementation gaps, and reporting on focus group or stakeholder consultation findings regarding the effectiveness of existing tools.</w:t>
      </w:r>
      <w:r w:rsidDel="00000000" w:rsidR="00000000" w:rsidRPr="00000000">
        <w:rPr>
          <w:rtl w:val="0"/>
        </w:rPr>
      </w:r>
    </w:p>
    <w:p w:rsidR="00000000" w:rsidDel="00000000" w:rsidP="00000000" w:rsidRDefault="00000000" w:rsidRPr="00000000" w14:paraId="00000078">
      <w:pPr>
        <w:pStyle w:val="Heading2"/>
        <w:keepNext w:val="1"/>
        <w:spacing w:after="80" w:before="280" w:lineRule="auto"/>
        <w:rPr>
          <w:rFonts w:ascii="Poppins" w:cs="Poppins" w:eastAsia="Poppins" w:hAnsi="Poppins"/>
          <w:color w:val="b7c3a1"/>
        </w:rPr>
      </w:pPr>
      <w:bookmarkStart w:colFirst="0" w:colLast="0" w:name="_heading=h.8ntkchiiimns" w:id="3"/>
      <w:bookmarkEnd w:id="3"/>
      <w:r w:rsidDel="00000000" w:rsidR="00000000" w:rsidRPr="00000000">
        <w:rPr>
          <w:rFonts w:ascii="Poppins" w:cs="Poppins" w:eastAsia="Poppins" w:hAnsi="Poppins"/>
          <w:color w:val="b7c3a1"/>
          <w:rtl w:val="0"/>
        </w:rPr>
        <w:t xml:space="preserve">1.4 Metodologia sintezei</w:t>
      </w:r>
    </w:p>
    <w:p w:rsidR="00000000" w:rsidDel="00000000" w:rsidP="00000000" w:rsidRDefault="00000000" w:rsidRPr="00000000" w14:paraId="00000079">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Sinteza a fost elaborată printr-o analiză comparativă structurată a tuturor rapoartelor de țară disponibile, evaluate în raport cu patru dimensiuni analitice: disponibilitatea și accesibilitatea resurselor de participare; soliditatea și relevanța rurală a cadrelor juridice și de politici publice; calitatea și transferabilitatea bunelor practici documentate; și natura și severitatea lacunelor identificate. Analiza comparativă a fost realizată atât în cadrul grupărilor de țări, cât și la nivelul întregului consorțiu format din șapte țări.</w:t>
      </w:r>
    </w:p>
    <w:p w:rsidR="00000000" w:rsidDel="00000000" w:rsidP="00000000" w:rsidRDefault="00000000" w:rsidRPr="00000000" w14:paraId="0000007A">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O distincție metodologică constantă traversează întreaga sinteză: diferența dintre ceea ce există formal în legislație și politici publice, peisajul de jure, și ceea ce funcționează în practică, așa cum este evidențiat prin mărturiile actorilor relevanți și concluziile focus-grupurilor, realitatea de facto. Această distincție reprezintă principala perspectivă diagnostică ce oferă recomandărilor din acest raport fundamentare analitică și urgență practică.</w:t>
      </w:r>
    </w:p>
    <w:p w:rsidR="00000000" w:rsidDel="00000000" w:rsidP="00000000" w:rsidRDefault="00000000" w:rsidRPr="00000000" w14:paraId="0000007B">
      <w:pPr>
        <w:pStyle w:val="Heading2"/>
        <w:keepNext w:val="1"/>
        <w:spacing w:after="80" w:before="280" w:lineRule="auto"/>
        <w:rPr>
          <w:rFonts w:ascii="Poppins" w:cs="Poppins" w:eastAsia="Poppins" w:hAnsi="Poppins"/>
          <w:color w:val="b7c3a1"/>
        </w:rPr>
      </w:pPr>
      <w:bookmarkStart w:colFirst="0" w:colLast="0" w:name="_heading=h.uqzeuj640s4y" w:id="4"/>
      <w:bookmarkEnd w:id="4"/>
      <w:r w:rsidDel="00000000" w:rsidR="00000000" w:rsidRPr="00000000">
        <w:rPr>
          <w:rFonts w:ascii="Poppins" w:cs="Poppins" w:eastAsia="Poppins" w:hAnsi="Poppins"/>
          <w:color w:val="b7c3a1"/>
          <w:rtl w:val="0"/>
        </w:rPr>
        <w:t xml:space="preserve">1.5 Prezentare generală a țărilor partenere</w:t>
      </w:r>
    </w:p>
    <w:p w:rsidR="00000000" w:rsidDel="00000000" w:rsidP="00000000" w:rsidRDefault="00000000" w:rsidRPr="00000000" w14:paraId="0000007C">
      <w:pPr>
        <w:pStyle w:val="Heading1"/>
        <w:keepNext w:val="1"/>
        <w:spacing w:after="120" w:before="360" w:lineRule="auto"/>
        <w:jc w:val="both"/>
        <w:rPr>
          <w:rFonts w:ascii="Poppins" w:cs="Poppins" w:eastAsia="Poppins" w:hAnsi="Poppins"/>
          <w:b w:val="0"/>
          <w:bCs w:val="0"/>
          <w:color w:val="1a1a1a"/>
          <w:sz w:val="22"/>
          <w:szCs w:val="22"/>
        </w:rPr>
      </w:pPr>
      <w:bookmarkStart w:colFirst="0" w:colLast="0" w:name="_heading=h.993k89fpew49" w:id="5"/>
      <w:bookmarkEnd w:id="5"/>
      <w:r w:rsidDel="00000000" w:rsidR="00000000" w:rsidRPr="00000000">
        <w:rPr>
          <w:rFonts w:ascii="Poppins" w:cs="Poppins" w:eastAsia="Poppins" w:hAnsi="Poppins"/>
          <w:b w:val="0"/>
          <w:bCs w:val="0"/>
          <w:color w:val="1a1a1a"/>
          <w:sz w:val="22"/>
          <w:szCs w:val="22"/>
          <w:rtl w:val="0"/>
        </w:rPr>
        <w:t xml:space="preserve">Consorțiul EMPOWER+ acoperă șapte țări de pe două continente: Botswana, Madagascar, Mauritius și Nigeria în Africa Subsahariană, și Grecia, Italia și România în Europa. Sarcinile 2.1 și 2.2 au fost finalizate în toate țările partenere, oferind o bază de dovezi cuprinzătoare și diversă geografic pentru analiza comparativă prezentată în acest raport.</w:t>
      </w:r>
    </w:p>
    <w:p w:rsidR="00000000" w:rsidDel="00000000" w:rsidP="00000000" w:rsidRDefault="00000000" w:rsidRPr="00000000" w14:paraId="0000007D">
      <w:pPr>
        <w:pStyle w:val="Heading1"/>
        <w:keepNext w:val="1"/>
        <w:spacing w:after="120" w:before="36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2. Concluziile pe țări ale Sarcinii 2.1: resurse, cadre și lacune</w:t>
      </w:r>
    </w:p>
    <w:p w:rsidR="00000000" w:rsidDel="00000000" w:rsidP="00000000" w:rsidRDefault="00000000" w:rsidRPr="00000000" w14:paraId="0000007E">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Această secțiune prezintă principalele concluzii din fiecare raport de țară aferent Sarcinii 2.1, structurate în jurul a patru dimensiuni analitice aplicate consecvent în toate rapoartele: resurse disponibile, cadre juridice și de politici publice, bune practici și lacune identificate. Analiza depășește nivelul descriptiv și interoghează condițiile structurale care modelează participarea tinerilor din mediul rural în fiecare context, evidențiind tiparele și tensiunile pe care analiza comparativă din Secțiunea 4 le dezvoltă în continuare. Țările sunt prezentate pe grupe regionale.</w:t>
      </w:r>
      <w:r w:rsidDel="00000000" w:rsidR="00000000" w:rsidRPr="00000000">
        <w:rPr>
          <w:rtl w:val="0"/>
        </w:rPr>
      </w:r>
    </w:p>
    <w:p w:rsidR="00000000" w:rsidDel="00000000" w:rsidP="00000000" w:rsidRDefault="00000000" w:rsidRPr="00000000" w14:paraId="0000007F">
      <w:pPr>
        <w:pStyle w:val="Heading2"/>
        <w:keepNext w:val="1"/>
        <w:spacing w:after="80" w:before="280" w:lineRule="auto"/>
        <w:rPr>
          <w:rFonts w:ascii="Poppins" w:cs="Poppins" w:eastAsia="Poppins" w:hAnsi="Poppins"/>
          <w:color w:val="b7c3a1"/>
        </w:rPr>
      </w:pPr>
      <w:bookmarkStart w:colFirst="0" w:colLast="0" w:name="_heading=h.b7erg2qplvjp" w:id="6"/>
      <w:bookmarkEnd w:id="6"/>
      <w:r w:rsidDel="00000000" w:rsidR="00000000" w:rsidRPr="00000000">
        <w:rPr>
          <w:rFonts w:ascii="Poppins" w:cs="Poppins" w:eastAsia="Poppins" w:hAnsi="Poppins"/>
          <w:color w:val="b7c3a1"/>
          <w:rtl w:val="0"/>
        </w:rPr>
        <w:t xml:space="preserve">2.1 Țările partenere din Africa Subsahariană</w:t>
      </w:r>
    </w:p>
    <w:p w:rsidR="00000000" w:rsidDel="00000000" w:rsidP="00000000" w:rsidRDefault="00000000" w:rsidRPr="00000000" w14:paraId="00000080">
      <w:pPr>
        <w:pStyle w:val="Heading3"/>
        <w:keepNext w:val="1"/>
        <w:spacing w:after="60" w:before="200" w:lineRule="auto"/>
        <w:rPr>
          <w:rFonts w:ascii="Poppins" w:cs="Poppins" w:eastAsia="Poppins" w:hAnsi="Poppins"/>
          <w:color w:val="2f6b3a"/>
        </w:rPr>
      </w:pPr>
      <w:bookmarkStart w:colFirst="0" w:colLast="0" w:name="_heading=h.6zthtnn2v80x" w:id="7"/>
      <w:bookmarkEnd w:id="7"/>
      <w:r w:rsidDel="00000000" w:rsidR="00000000" w:rsidRPr="00000000">
        <w:rPr>
          <w:rFonts w:ascii="Poppins" w:cs="Poppins" w:eastAsia="Poppins" w:hAnsi="Poppins"/>
          <w:color w:val="2f6b3a"/>
          <w:rtl w:val="0"/>
        </w:rPr>
        <w:t xml:space="preserve">2.1.1 Botswana</w:t>
      </w:r>
    </w:p>
    <w:p w:rsidR="00000000" w:rsidDel="00000000" w:rsidP="00000000" w:rsidRDefault="00000000" w:rsidRPr="00000000" w14:paraId="00000081">
      <w:pPr>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Resurse și ecosistem institutional</w:t>
      </w:r>
    </w:p>
    <w:p w:rsidR="00000000" w:rsidDel="00000000" w:rsidP="00000000" w:rsidRDefault="00000000" w:rsidRPr="00000000" w14:paraId="00000082">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Ecosistemul participării tinerilor din mediul rural din Botswana este stratificat pe mai multe niveluri instituționale, care împreună creează un peisaj formal bogat, dar constrâns în practică. La nivel național, principala resursă formală este Politica Națională Revizuită pentru Tineret din 2010, care stabilește un angajament-cadru privind participarea civică a tinerilor și definește responsabilitățile Ministerului Tineretului, Sportului și Culturii în sprijinirea inițiativelor orientate către tineri. Aceasta este completată la nivel continental de Carta Africană a Tineretului, la care Botswana este semnatară și care oferă fundamentare normativă pentru drepturile de participare ale tinerilor. Fondul pentru Dezvoltarea Tinerilor oferă sprijin financiar pentru inițiative antreprenoriale ale tinerilor și a fost accesat de grupuri de tineri din mediul rural în unele districte, deși aria sa de acoperire este limitată de bariere informaționale și administrative în cele mai izolate zone. Structurile District Youth Officer, integrate în administrația locală, funcționează ca principală interfață instituțională între stat și grupurile organizate de tineri la nivel de district, asigurând coordonare, trimitere către servicii și funcții limitate de livrare de programe.</w:t>
      </w:r>
    </w:p>
    <w:p w:rsidR="00000000" w:rsidDel="00000000" w:rsidP="00000000" w:rsidRDefault="00000000" w:rsidRPr="00000000" w14:paraId="00000083">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Dimensiunea societății civile în ecosistemul participării din Botswana este activă și diversă în raport cu alte țări partenere din Africa Subsahariană. Organizații naționale, inclusiv Youth Unlimited, au dezvoltat abordări participative care includ programe de educație civică și activități structurate de dezvoltare a leadershipului. Parlamentul Național al Tinerilor oferă un model deliberativ formal, punând la dispoziție un cadru de simulare testat pentru deliberarea structurată a tinerilor la nivel național, deși accesibilitatea sa pentru tinerii din mediul rural este limitată de caracterul centrat pe capitală al activităților sale. Canalele de comunicare digitală, inclusiv platformele de social media și aplicațiile mobile de mesagerie, au devenit instrumente importante pentru schimbul de informații și mobilizarea informală a tinerilor în zonele cu conectivitate adecvată, deși decalajul digital rămâne pronunțat în mediul rural din Botswana.</w:t>
      </w:r>
    </w:p>
    <w:p w:rsidR="00000000" w:rsidDel="00000000" w:rsidP="00000000" w:rsidRDefault="00000000" w:rsidRPr="00000000" w14:paraId="00000084">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85">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Sistemul Kgotla: legitimitate culturală și limite practice</w:t>
      </w:r>
    </w:p>
    <w:p w:rsidR="00000000" w:rsidDel="00000000" w:rsidP="00000000" w:rsidRDefault="00000000" w:rsidRPr="00000000" w14:paraId="00000086">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Cea mai semnificativă resursă analitică din ecosistemul participării tinerilor din mediul rural din Botswana nu este nici o structură formală a statului, nici o organizație a societății civile, ci Kgotla, adunarea comunitară tradițională convocată de Kgosi, liderul comunitar ereditar. Kgotla este instituția centrală a culturii democratice din Botswana: este spațiul în care problemele comunitare sunt dezbătute, disputele sunt soluționate și deciziile colective sunt luate. Legitimitatea sa derivă din rădăcini istorice și culturale profunde, din autoritatea Kgosi ca persoană care convoacă adunarea și din principiul incluziv al participării deschise încorporat în tradiția sa. Comitetele de Dezvoltare a Satelor și interfețele cu consilierii aleși la nivel de ward și district completează arhitectura formală de participare la nivel subnațional.</w:t>
      </w:r>
    </w:p>
    <w:p w:rsidR="00000000" w:rsidDel="00000000" w:rsidP="00000000" w:rsidRDefault="00000000" w:rsidRPr="00000000" w14:paraId="00000087">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Pentru tinerii din mediul rural, Kgotla este cel mai accesibil spațiu de participare civică: este local, familiar din punct de vedere cultural și are autoritate reală. Totuși, dovezile obținute prin focus-grupuri în Mogobane și Tlokweng relevă o lacună semnificativă și sistemică între deschiderea formală a Kgotla și eficacitatea sa practică drept spațiu al unei voci semnificative a tinerilor. Normele culturale creează o așteptare puternică potrivit căreia tinerii trebuie să manifeste deferență față de vârstnici, iar exprimarea cu autoritate în adunările comunitare este prerogativa bărbaților mai în vârstă. Tinerele femei se confruntă cu bariere suplimentare, înrădăcinate atât în norme legate de vârstă, cât și de gen. Programarea întâlnirilor, de obicei în timpul zilelor lucrătoare, intră în conflict cu activitățile agricole și de subzistență care ocupă timpul tinerilor din mediul rural. Combinația dintre distanța culturală față de autoritatea formală și conflictele practice de program produce un tipar constant: prezență formală, voce limitată, responsabilizare absentă.</w:t>
      </w:r>
    </w:p>
    <w:p w:rsidR="00000000" w:rsidDel="00000000" w:rsidP="00000000" w:rsidRDefault="00000000" w:rsidRPr="00000000" w14:paraId="00000088">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89">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Cadrul juridic și de politici publice și principalele lacune</w:t>
      </w:r>
    </w:p>
    <w:p w:rsidR="00000000" w:rsidDel="00000000" w:rsidP="00000000" w:rsidRDefault="00000000" w:rsidRPr="00000000" w14:paraId="0000008A">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Cadrul juridic și de politici publice al Botswanei privind participarea tinerilor este permisiv, dar nu prescriptiv. Politica Națională Revizuită pentru Tineret deschide spații pentru implicarea tinerilor fără a stabili obligațiile instituționale, mecanismele de finanțare sau structurile de responsabilizare care ar asigura ocuparea semnificativă a acestor spații de către tinerii din mediul rural. Legea Consiliului Național al Tinerilor oferă o bază statutară pentru Consiliul Național al Tinerilor, dar nu mandatează outreach rural sau programe dezagregate pentru tinerii din mediul rural. În ambele focus-grupuri, lacuna identificată cel mai consecvent este absența unui mecanism instituțional predictibil de feedback: tinerii din mediul rural își exprimă opiniile, dar nu primesc nicio confirmare sistematică privind ce s-a întâmplat cu acele opinii. Această absență a responsabilizării, eșecul de a închide bucla dintre contribuția tinerilor și răspunsul instituțional, este principalul motor al deziluziei și dezangajării documentate în dovezile obținute prin focus-grupuri. O lacună secundară este absența unor structuri dedicate de guvernanță pentru tinerii din mediul rural la nivel de district sau ward, cu finanțare publică, ceea ce înseamnă că participarea depinde în întregime de inițiativa societății civile și de motivația individuală, nu de infrastructură instituțională.</w:t>
      </w:r>
    </w:p>
    <w:p w:rsidR="00000000" w:rsidDel="00000000" w:rsidP="00000000" w:rsidRDefault="00000000" w:rsidRPr="00000000" w14:paraId="0000008B">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Diagnostic-cheie</w:t>
      </w:r>
    </w:p>
    <w:p w:rsidR="00000000" w:rsidDel="00000000" w:rsidP="00000000" w:rsidRDefault="00000000" w:rsidRPr="00000000" w14:paraId="0000008C">
      <w:pPr>
        <w:jc w:val="both"/>
        <w:rPr>
          <w:rFonts w:ascii="Poppins" w:cs="Poppins" w:eastAsia="Poppins" w:hAnsi="Poppins"/>
        </w:rPr>
      </w:pPr>
      <w:r w:rsidDel="00000000" w:rsidR="00000000" w:rsidRPr="00000000">
        <w:rPr>
          <w:rFonts w:ascii="Poppins" w:cs="Poppins" w:eastAsia="Poppins" w:hAnsi="Poppins"/>
          <w:color w:val="1a1a1a"/>
          <w:rtl w:val="0"/>
        </w:rPr>
        <w:t xml:space="preserve">Constrângerea principală nu este absența spațiilor de participare, ci absența răspunsului instituțional. Închiderea buclei de feedback dintre contribuția tinerilor și rezultatele vizibile este cea mai importantă schimbare structurală necesară în contextul Botswanei.</w:t>
      </w:r>
      <w:r w:rsidDel="00000000" w:rsidR="00000000" w:rsidRPr="00000000">
        <w:rPr>
          <w:rtl w:val="0"/>
        </w:rPr>
      </w:r>
    </w:p>
    <w:p w:rsidR="00000000" w:rsidDel="00000000" w:rsidP="00000000" w:rsidRDefault="00000000" w:rsidRPr="00000000" w14:paraId="0000008D">
      <w:pPr>
        <w:pStyle w:val="Heading3"/>
        <w:keepNext w:val="1"/>
        <w:spacing w:after="60" w:before="200" w:lineRule="auto"/>
        <w:rPr>
          <w:rFonts w:ascii="Poppins" w:cs="Poppins" w:eastAsia="Poppins" w:hAnsi="Poppins"/>
          <w:color w:val="2f6b3a"/>
        </w:rPr>
      </w:pPr>
      <w:bookmarkStart w:colFirst="0" w:colLast="0" w:name="_heading=h.z5dmgvsd3rej" w:id="8"/>
      <w:bookmarkEnd w:id="8"/>
      <w:r w:rsidDel="00000000" w:rsidR="00000000" w:rsidRPr="00000000">
        <w:rPr>
          <w:rFonts w:ascii="Poppins" w:cs="Poppins" w:eastAsia="Poppins" w:hAnsi="Poppins"/>
          <w:color w:val="2f6b3a"/>
          <w:rtl w:val="0"/>
        </w:rPr>
        <w:t xml:space="preserve">2.1.2 Madagascar</w:t>
      </w:r>
    </w:p>
    <w:p w:rsidR="00000000" w:rsidDel="00000000" w:rsidP="00000000" w:rsidRDefault="00000000" w:rsidRPr="00000000" w14:paraId="0000008E">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Contextul și amploarea provocării</w:t>
      </w:r>
    </w:p>
    <w:p w:rsidR="00000000" w:rsidDel="00000000" w:rsidP="00000000" w:rsidRDefault="00000000" w:rsidRPr="00000000" w14:paraId="0000008F">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Madagascar prezintă atât cele mai acute provocări privind participarea tinerilor din mediul rural din consorțiul EMPOWER+, cât și cea mai extraordinară expresie a apetitului pentru schimbare. Raportul aferent Sarcinii 2.1 se bazează pe o consultare a actorilor relevanți cu treizeci și patru de respondenți din șapte regiuni, oferind o bază de dovezi distribuită la nivel național, printre cele mai reprezentative geografic din consorțiu. Contextul de dezvoltare al Madagascarului este caracterizat de vulnerabilitate economică acută, combinată cu o populație foarte tânără și predominant rurală. Infrastructura rurală, inclusiv drumurile, electricitatea și conectivitatea digitală, este sever limitată în afara capitalei Antananarivo și a unui număr mic de orașe secundare. Aceste realități structurale creează un mediu în care barierele în calea participării tinerilor din mediul rural nu sunt doar instituționale, ci fundamental economice și geografice.</w:t>
      </w:r>
    </w:p>
    <w:p w:rsidR="00000000" w:rsidDel="00000000" w:rsidP="00000000" w:rsidRDefault="00000000" w:rsidRPr="00000000" w14:paraId="00000090">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Cadru formal și realitate trăită</w:t>
      </w:r>
    </w:p>
    <w:p w:rsidR="00000000" w:rsidDel="00000000" w:rsidP="00000000" w:rsidRDefault="00000000" w:rsidRPr="00000000" w14:paraId="0000009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Cadrul formal de participare include Plan d’Emergence de Madagascar, care stabilește angajamente largi de dezvoltare, inclusiv privind implicarea tinerilor; Planurile Comunale de Dezvoltare, care oferă un mecanism local de planificare cu o cerință formală de consultare; și procesul de reînnoire a Planului Național pentru Tineret al Ministerului Tineretului și Sportului. În principiu, aceste cadre oferă baza juridică pentru o consultare semnificativă a tinerilor atât la nivel național, cât și local. Diferența dintre acest cadru formal și realitatea trăită este, din orice punct de vedere, extremă. Niciun respondent din consultarea celor treizeci și patru de actori relevanți nu a selectat „foarte activ” pentru a descrie implicarea tinerilor în guvernanța locală. Doar nouă la sută au raportat că opiniile tinerilor sunt „întotdeauna luate în serios” de către factorii de decizie. Cele trei bariere menționate cel mai frecvent sunt: lipsa de încredere sau experiență în rândul tinerilor înșiși, raportată de douăzeci și nouă la sută dintre respondenți; faptul că tinerii nu sunt invitați sau informați la timp despre oportunitățile de participare, raportat de douăzeci și patru la sută; și faptul că întâlnirile sunt dominate de adulți mai în vârstă în moduri care exclud efectiv vocea tinerilor, raportat de optsprezece la sută.</w:t>
      </w:r>
    </w:p>
    <w:p w:rsidR="00000000" w:rsidDel="00000000" w:rsidP="00000000" w:rsidRDefault="00000000" w:rsidRPr="00000000" w14:paraId="00000092">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Tradiții comunitare, energie de bază și mandatul RYP</w:t>
      </w:r>
    </w:p>
    <w:p w:rsidR="00000000" w:rsidDel="00000000" w:rsidP="00000000" w:rsidRDefault="00000000" w:rsidRPr="00000000" w14:paraId="00000093">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În ciuda severității acestor bariere structurale, raportul Madagascar aferent Sarcinii 2.1 relevă o energie civică semnificativă și vibrantă la nivel local, înrădăcinată în tradiții comunitare care precedă cadrul formal de participare. Andrimasompokonolona, un sistem tradițional de pază comunitară în care tinerii bărbați își asumă responsabilități structurate pentru securitatea și ordinea satului, oferă un rol civic recunoscut cultural pentru tineri, cu legitimitate comunitară reală. Mișcările de cercetași, grupurile religioase de tineret și asociațiile organizate local sunt principalele vehicule prin care tinerii din mediul rural se implică în activități colective și își dezvoltă competențele civice. Aceste tradiții comunitare reprezintă cel mai important punct de plecare pentru provocarea de proiectare a RYP în cadrul EMPOWER+: ele demonstrează că tinerii din mediul rural din Madagascar nu sunt pasivi sau dezangajați, ci caută roluri civice structurate care să fie conectate la rezultate de guvernanță. Cea mai semnificativă constatare a întregii consultări este sprijinul unanim pentru un Parlament al Tinerilor Rurali exprimat de toți cei treizeci și patru de respondenți, cincizeci la sută necondiționat și cincizeci la sută sub rezerva unor condiții, inclusiv resurse financiare adecvate, leadership local puternic, recunoaștere comunitară și sisteme de comunicare incluzive. Acest nivel de consens constituie un mandat puternic pentru intervenția EMPOWER+.</w:t>
      </w:r>
    </w:p>
    <w:p w:rsidR="00000000" w:rsidDel="00000000" w:rsidP="00000000" w:rsidRDefault="00000000" w:rsidRPr="00000000" w14:paraId="00000094">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Diagnostic-cheie</w:t>
      </w:r>
    </w:p>
    <w:p w:rsidR="00000000" w:rsidDel="00000000" w:rsidP="00000000" w:rsidRDefault="00000000" w:rsidRPr="00000000" w14:paraId="00000095">
      <w:pPr>
        <w:pStyle w:val="Heading3"/>
        <w:keepNext w:val="1"/>
        <w:spacing w:after="60" w:before="200" w:lineRule="auto"/>
        <w:jc w:val="both"/>
        <w:rPr>
          <w:rFonts w:ascii="Poppins" w:cs="Poppins" w:eastAsia="Poppins" w:hAnsi="Poppins"/>
          <w:b w:val="0"/>
          <w:bCs w:val="0"/>
          <w:color w:val="1a1a1a"/>
          <w:sz w:val="22"/>
          <w:szCs w:val="22"/>
        </w:rPr>
      </w:pPr>
      <w:bookmarkStart w:colFirst="0" w:colLast="0" w:name="_heading=h.8hfhp8m10xsn" w:id="9"/>
      <w:bookmarkEnd w:id="9"/>
      <w:r w:rsidDel="00000000" w:rsidR="00000000" w:rsidRPr="00000000">
        <w:rPr>
          <w:rFonts w:ascii="Poppins" w:cs="Poppins" w:eastAsia="Poppins" w:hAnsi="Poppins"/>
          <w:b w:val="0"/>
          <w:bCs w:val="0"/>
          <w:color w:val="1a1a1a"/>
          <w:sz w:val="22"/>
          <w:szCs w:val="22"/>
          <w:rtl w:val="0"/>
        </w:rPr>
        <w:t xml:space="preserve">Lacuna este între nevoia urgentă și infrastructura absentă. Tinerii din mediul rural nu își pot permite să participe financiar, informațional sau din perspectiva costului social de a-și exprima opinia în spații dominate de vârstnici. Răspunsul de proiectare trebuie să abordeze simultan toate cele trei dimensiuni.</w:t>
      </w:r>
    </w:p>
    <w:p w:rsidR="00000000" w:rsidDel="00000000" w:rsidP="00000000" w:rsidRDefault="00000000" w:rsidRPr="00000000" w14:paraId="00000096">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2.1.3 Mauritius</w:t>
      </w:r>
    </w:p>
    <w:p w:rsidR="00000000" w:rsidDel="00000000" w:rsidP="00000000" w:rsidRDefault="00000000" w:rsidRPr="00000000" w14:paraId="00000097">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Un ecosistem dezvoltat institutional</w:t>
      </w:r>
    </w:p>
    <w:p w:rsidR="00000000" w:rsidDel="00000000" w:rsidP="00000000" w:rsidRDefault="00000000" w:rsidRPr="00000000" w14:paraId="00000098">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Mauritius prezintă cel mai dezvoltat ecosistem instituțional de participare a tinerilor din mediul rural din clusterul Africii Subsahariene. Dimensiunea sa relativ redusă, venitul pe cap de locuitor mai ridicat și infrastructura administrativă de stat mai dezvoltată au permis crearea unui sistem stratificat și distribuit geografic de structuri de participare a tinerilor, care depășește semnificativ ceea ce există în celelalte trei țări partenere din Africa Subsahariană. Consiliile Regionale ale Tinerilor funcționează în fiecare district administrativ din Mauritius, inclusiv în Rodrigues, insula semi-autonomă care reprezintă cea mai izolată geografic și cea mai marginalizată socio-economic parte a țării. Parlamentul Tinerilor din Mauritius oferă un forum deliberativ bienal pentru tinerii cu vârste între cincisprezece și douăzeci și patru de ani, punând la dispoziție un model de simulare parlamentară testat la nivel național. Centrele de Tineret situate în zone rurale, inclusiv Goodlands, Helvetia și Flacq, oferă acces gratuit la internet și interfețe directe cu serviciile guvernamentale, reducând unele dintre barierele informaționale și digitale în calea participării.</w:t>
      </w:r>
    </w:p>
    <w:p w:rsidR="00000000" w:rsidDel="00000000" w:rsidP="00000000" w:rsidRDefault="00000000" w:rsidRPr="00000000" w14:paraId="00000099">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Modelul YUVA și bunele practici susținute</w:t>
      </w:r>
    </w:p>
    <w:p w:rsidR="00000000" w:rsidDel="00000000" w:rsidP="00000000" w:rsidRDefault="00000000" w:rsidRPr="00000000" w14:paraId="0000009A">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YUVA Mauritius reprezintă una dintre cele mai interesante bune practici din punct de vedere analitic în consorțiul EMPOWER+. Ca organizație neguvernamentală care vizează în mod specific tinerii din mediul rural prin Rural Youth Empowerment Project, YUVA combină formarea în leadership, microfinanțarea și programele de implicare civică într-un model care abordează explicit barierele economice ale participării alături de barierele instituționale. Agilitatea sa ca organizație a societății civile, capacitatea de a răspunde rapid nevoilor emergente și de a funcționa cu o flexibilitate pe care structurile guvernamentale formale nu o au reprezintă o caracteristică-cheie de proiectare pe care platforma EMPOWER+ ar trebui să încerce să o reproducă sau să o sprijine. Alte bune practici susținute includ modelul de formare profesională Maisons Familiales Rurales, care integrează educația civică cu dezvoltarea abilităților practice, și Cluburile de Tineret DIS-MOI, care integrează educația civică în școlile din Mauritius și Rodrigues.</w:t>
      </w:r>
    </w:p>
    <w:p w:rsidR="00000000" w:rsidDel="00000000" w:rsidP="00000000" w:rsidRDefault="00000000" w:rsidRPr="00000000" w14:paraId="0000009B">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Lacune-cheie: dependența de afiliere și excluderea rurală</w:t>
      </w:r>
    </w:p>
    <w:p w:rsidR="00000000" w:rsidDel="00000000" w:rsidP="00000000" w:rsidRDefault="00000000" w:rsidRPr="00000000" w14:paraId="0000009C">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În ciuda acestui ecosistem relativ dezvoltat, sunt identificate două lacune structurale semnificative. Prima este dependența de afiliere: participarea formală în Consiliile Regionale ale Tinerilor și în multe alte structuri oficiale necesită apartenența la Consiliul Național al Tinerilor sau la organizații afiliate. Tinerii din mediul rural care nu sunt membri ai acestor rețele, majoritatea tinerilor rurali și în special cei din comunitățile cele mai marginalizate economic, constată că accesibilitatea lor la structurile formale de participare este semnificativ mai redusă decât ar sugera arhitectura instituțională. A doua lacună este dezangajarea documentată a tinerilor din mediul rural față de procesele de politici privind agricultura și dezvoltarea rurală, în pofida importanței centrale a acestor aspecte pentru mijloacele de trai rurale. Tinerii din mediul rural participă la structuri civice, dar aceste structuri rareori abordează provocările specifice ale mijloacelor de trai rurale, accesului la terenuri, creditului și dezvoltării agricole. Această deconectare între structurile de participare și problemele care contează cel mai mult pentru tinerii din mediul rural este un eșec structural de proiectare pe care modelul RYP trebuie să îl abordeze în mod explicit.</w:t>
      </w:r>
    </w:p>
    <w:p w:rsidR="00000000" w:rsidDel="00000000" w:rsidP="00000000" w:rsidRDefault="00000000" w:rsidRPr="00000000" w14:paraId="0000009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Diagnostic-cheie</w:t>
      </w:r>
    </w:p>
    <w:p w:rsidR="00000000" w:rsidDel="00000000" w:rsidP="00000000" w:rsidRDefault="00000000" w:rsidRPr="00000000" w14:paraId="0000009E">
      <w:pPr>
        <w:spacing w:after="100" w:before="60" w:lineRule="auto"/>
        <w:jc w:val="both"/>
        <w:rPr>
          <w:rFonts w:ascii="Poppins" w:cs="Poppins" w:eastAsia="Poppins" w:hAnsi="Poppins"/>
          <w:b w:val="0"/>
          <w:bCs w:val="0"/>
          <w:color w:val="1a1a1a"/>
          <w:sz w:val="22"/>
          <w:szCs w:val="22"/>
        </w:rPr>
      </w:pPr>
      <w:r w:rsidDel="00000000" w:rsidR="00000000" w:rsidRPr="00000000">
        <w:rPr>
          <w:rFonts w:ascii="Poppins" w:cs="Poppins" w:eastAsia="Poppins" w:hAnsi="Poppins"/>
          <w:b w:val="0"/>
          <w:bCs w:val="0"/>
          <w:color w:val="1a1a1a"/>
          <w:sz w:val="22"/>
          <w:szCs w:val="22"/>
          <w:rtl w:val="0"/>
        </w:rPr>
        <w:t xml:space="preserve">Participarea formală depinde de afilierea la Consiliul Național al Tinerilor. Tinerii independenți din mediul rural, majoritatea, rămân insuficient deserviți. Fie modelul de afiliere trebuie să își extindă aria de acoperire, fie trebuie create căi de participare accesibile și neafiliate, alături de acesta.</w:t>
      </w:r>
    </w:p>
    <w:p w:rsidR="00000000" w:rsidDel="00000000" w:rsidP="00000000" w:rsidRDefault="00000000" w:rsidRPr="00000000" w14:paraId="0000009F">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2.1.4 Nigeria</w:t>
      </w:r>
    </w:p>
    <w:p w:rsidR="00000000" w:rsidDel="00000000" w:rsidP="00000000" w:rsidRDefault="00000000" w:rsidRPr="00000000" w14:paraId="000000A0">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Amploare, complexitate și fragmentare structural</w:t>
      </w:r>
    </w:p>
    <w:p w:rsidR="00000000" w:rsidDel="00000000" w:rsidP="00000000" w:rsidRDefault="00000000" w:rsidRPr="00000000" w14:paraId="000000A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Raportul Nigeriei aferent Sarcinii 2.1 reprezintă cel mai cuprinzător diagnostic formal din cadrul consorțiului, reflectând atât amploarea țării, ca cea mai populată națiune a Africii, cât și complexitatea arhitecturii sale de guvernanță pe mai multe niveluri, care acoperă nivelul federal, statal și local. Structurile formale documentate sunt extinse: Consiliul Național al Tinerilor din Nigeria, cu treizeci și șase de filiale statale și șapte sute șaptezeci și patru de filiale la nivel de Local Government Area; Parlamentul Tinerilor din Nigeria; și cel puțin cincisprezece parlamente statale ale tinerilor în diferite state. Sub această arhitectură formală extinsă, însă, analiza relevă un peisaj de fragmentare structurală profundă. Structurile formale sunt concentrate geografic în capitalele statelor și ale LGA-urilor și sunt deconectate structural de comunitățile rurale în care trăiește majoritatea tinerilor nigerieni. NYCN însuși s-a confruntat cu eșecuri de guvernanță documentate, inclusiv nereguli financiare și conflicte interne, care i-au subminat semnificativ credibilitatea ca organism reprezentativ.</w:t>
      </w:r>
    </w:p>
    <w:p w:rsidR="00000000" w:rsidDel="00000000" w:rsidP="00000000" w:rsidRDefault="00000000" w:rsidRPr="00000000" w14:paraId="000000A2">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Structuri informale și hibride ca arhitectură reală a participării</w:t>
      </w:r>
    </w:p>
    <w:p w:rsidR="00000000" w:rsidDel="00000000" w:rsidP="00000000" w:rsidRDefault="00000000" w:rsidRPr="00000000" w14:paraId="000000A3">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Mult mai accesibile și mai de încredere pentru tinerii din mediul rural decât infrastructura formală a NYCN sunt structurile informale și hibride de participare care funcționează la nivel comunitar. Asociațiile pe grupe de vârstă, grupuri organizate de tineri născuți într-un interval de vârstă definit, reprezintă o instituție socială profund înrădăcinată în multe părți ale Nigeriei, în special în Sud-Est și Sud-Sud. Acestea oferă cadre structurate de acțiune colectivă, obligații de serviciu comunitar, sisteme de responsabilizare între egali și roluri informale de guvernanță care depășesc cu mult ceea ce oferă structura formală a parlamentului tinerilor în ceea ce privește accesibilitatea rurală și legitimitatea culturală. Instituția Sarkin Samari, sistemul tradițional de leadership al tinerilor întâlnit în nordul Nigeriei, este deosebit de semnificativă. Șefii Sarkin Samari dețin autoritate tradițională formală recunoscută în cadrul sistemului consiliilor emirale, oferă un canal prin care preocupările tinerilor pot ajunge la leadershipul tradițional și, în unele cazuri, dețin roluri consultative formale în procesele administrației locale. Această instituție reprezintă o formă de guvernanță intergenerațională instituționalizată fără echivalent direct în celelalte țări partenere din Africa Subsahariană și oferă un reper promițător de proiectare pentru dezvoltarea RYP în cadrul EMPOWER+.</w:t>
      </w:r>
    </w:p>
    <w:p w:rsidR="00000000" w:rsidDel="00000000" w:rsidP="00000000" w:rsidRDefault="00000000" w:rsidRPr="00000000" w14:paraId="000000A4">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Cadrul juridic și criza finanțării</w:t>
      </w:r>
    </w:p>
    <w:p w:rsidR="00000000" w:rsidDel="00000000" w:rsidP="00000000" w:rsidRDefault="00000000" w:rsidRPr="00000000" w14:paraId="000000A5">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Cadrul constituțional și de politici publice al Nigeriei este simultan permisiv din punct de vedere juridic și inoperant în practică. Principiul participării prevăzut în Constituția din 1999 nu este justițiabil, stabilind un angajament declarat față de participare, dar fără a oferi o bază juridică pentru aplicarea acestuia sau pentru tragerea la răspundere a instituțiilor în caz de neimplementare. Politica Națională pentru Tineret din 2019 oferă un angajament-cadru, dar nu include mandate de implementare sau mecanisme de finanțare. Cea mai acută constrângere structurală este deficitul de finanțare. Cheltuielile publice legate de tineret sunt documentate ca fiind sub un procent din bugetele statelor în majoritatea statelor, cu o cheltuială per tânăr în statul Kogi de numai 4.299 NGN, o cifră care face ca orice idee de infrastructură de participare finanțată și accesibilă să rămână o aspirație îndepărtată fără acțiuni corective deliberate. Fără finanțare publică predictibilă și dedicată la nivel de Local Government Area, orice structură de tip parlament al tinerilor, oricât de bine concepută, va depinde de finanțarea externă prin proiecte și va fi, prin urmare, inerent episodică.</w:t>
      </w:r>
    </w:p>
    <w:p w:rsidR="00000000" w:rsidDel="00000000" w:rsidP="00000000" w:rsidRDefault="00000000" w:rsidRPr="00000000" w14:paraId="000000A6">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Diagnostic-cheie</w:t>
      </w:r>
    </w:p>
    <w:p w:rsidR="00000000" w:rsidDel="00000000" w:rsidP="00000000" w:rsidRDefault="00000000" w:rsidRPr="00000000" w14:paraId="000000A7">
      <w:pPr>
        <w:spacing w:after="100" w:before="60" w:lineRule="auto"/>
        <w:jc w:val="both"/>
        <w:rPr>
          <w:rFonts w:ascii="Poppins" w:cs="Poppins" w:eastAsia="Poppins" w:hAnsi="Poppins"/>
          <w:b w:val="0"/>
          <w:bCs w:val="0"/>
          <w:color w:val="1a1a1a"/>
          <w:sz w:val="22"/>
          <w:szCs w:val="22"/>
        </w:rPr>
      </w:pPr>
      <w:r w:rsidDel="00000000" w:rsidR="00000000" w:rsidRPr="00000000">
        <w:rPr>
          <w:rFonts w:ascii="Poppins" w:cs="Poppins" w:eastAsia="Poppins" w:hAnsi="Poppins"/>
          <w:b w:val="0"/>
          <w:bCs w:val="0"/>
          <w:color w:val="1a1a1a"/>
          <w:sz w:val="22"/>
          <w:szCs w:val="22"/>
          <w:rtl w:val="0"/>
        </w:rPr>
        <w:t xml:space="preserve">Constrângerea principală este fragmentarea dintre structurile informale legitime la nivel local, care nu au autoritate, și instituțiile formale cu autoritate, care nu au proximitate față de realitatea rurală. Orice RYP eficient trebuie să conecteze aceste două niveluri și să fie susținut încă de la început prin finanțare publică predictibilă la nivel de LGA.</w:t>
      </w:r>
    </w:p>
    <w:p w:rsidR="00000000" w:rsidDel="00000000" w:rsidP="00000000" w:rsidRDefault="00000000" w:rsidRPr="00000000" w14:paraId="000000A8">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A9">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2.2 Țările partenere europene</w:t>
      </w:r>
    </w:p>
    <w:p w:rsidR="00000000" w:rsidDel="00000000" w:rsidP="00000000" w:rsidRDefault="00000000" w:rsidRPr="00000000" w14:paraId="000000AA">
      <w:pPr>
        <w:pStyle w:val="Heading3"/>
        <w:keepNext w:val="1"/>
        <w:spacing w:after="60" w:before="200" w:lineRule="auto"/>
        <w:rPr>
          <w:rFonts w:ascii="Poppins" w:cs="Poppins" w:eastAsia="Poppins" w:hAnsi="Poppins"/>
          <w:color w:val="2f6b3a"/>
        </w:rPr>
      </w:pPr>
      <w:bookmarkStart w:colFirst="0" w:colLast="0" w:name="_heading=h.nue074clthl2" w:id="10"/>
      <w:bookmarkEnd w:id="10"/>
      <w:r w:rsidDel="00000000" w:rsidR="00000000" w:rsidRPr="00000000">
        <w:rPr>
          <w:rFonts w:ascii="Poppins" w:cs="Poppins" w:eastAsia="Poppins" w:hAnsi="Poppins"/>
          <w:color w:val="2f6b3a"/>
          <w:rtl w:val="0"/>
        </w:rPr>
        <w:t xml:space="preserve">2.2.1 Grecia</w:t>
      </w:r>
    </w:p>
    <w:p w:rsidR="00000000" w:rsidDel="00000000" w:rsidP="00000000" w:rsidRDefault="00000000" w:rsidRPr="00000000" w14:paraId="000000AB">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Țările partenere europene</w:t>
      </w:r>
    </w:p>
    <w:p w:rsidR="00000000" w:rsidDel="00000000" w:rsidP="00000000" w:rsidRDefault="00000000" w:rsidRPr="00000000" w14:paraId="000000AC">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Ecosistemul participării tinerilor din Grecia este divers și dezvoltat formal în cadrul Strategiei UE pentru tineret. Consiliul Național Elen al Tineretului funcționează ca principal organism reprezentativ pentru organizațiile de tineret la nivel național, oferind o interfață formală între tinerii organizați și guvern. Consiliile Municipale ale Tinerilor funcționează într-un număr de municipalități din întreaga țară, Consiliul Municipal al Tinerilor din Larissa reprezentând cel mai bine documentat exemplu de contribuție structurată a tinerilor la procesul decizional municipal, prin organizarea de întâlniri tematice regulate ale comitetelor privind educația, cultura și politica socială. Inițiativele comunitare, inclusiv Save Your Hood și Ecogenia, au deschis drumuri noi în abordări participative privind guvernanța de cartier și de mediu, demonstrând vitalitatea participării non-formale dincolo de structurile instituționale.</w:t>
      </w:r>
    </w:p>
    <w:p w:rsidR="00000000" w:rsidDel="00000000" w:rsidP="00000000" w:rsidRDefault="00000000" w:rsidRPr="00000000" w14:paraId="000000A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Lacune rurale și limite de implementare</w:t>
      </w:r>
    </w:p>
    <w:p w:rsidR="00000000" w:rsidDel="00000000" w:rsidP="00000000" w:rsidRDefault="00000000" w:rsidRPr="00000000" w14:paraId="000000AE">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Raportul Greciei aferent Sarcinii 2.1 identifică trei lacune structurale-cheie care sunt direct relevante pentru provocarea de proiectare EMPOWER+. În primul rând, oportunitățile de participare sunt concentrate geografic în centre urbane, municipalitățile rurale fiind semnificativ insuficient deservite atât de structurile instituționale formale, cât și de programele de participare conduse de societatea civilă. În al doilea rând, Consiliile Municipale ale Tinerilor sunt înființate și funcționează în mod inconsistent între municipalități: deși există baza juridică pentru crearea lor, multe municipalități rurale nu le-au înființat, iar cele existente variază enorm în ceea ce privește nivelul de activitate și integrarea instituțională. În al treilea rând, dependența de finanțarea UE bazată pe proiecte creează fragilitate structurală: structurile de participare sunt dinamizate în timpul ciclurilor de proiect și se retrag atunci când finanțarea se încheie, producând un tipar de implicare episodic, nu susținut, care este deosebit de dăunător pentru construirea încrederii cu tinerii din mediul rural.</w:t>
      </w:r>
    </w:p>
    <w:p w:rsidR="00000000" w:rsidDel="00000000" w:rsidP="00000000" w:rsidRDefault="00000000" w:rsidRPr="00000000" w14:paraId="000000AF">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Transferabilitate către proiectarea în Africa Subsahariană</w:t>
      </w:r>
    </w:p>
    <w:p w:rsidR="00000000" w:rsidDel="00000000" w:rsidP="00000000" w:rsidRDefault="00000000" w:rsidRPr="00000000" w14:paraId="000000B0">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Contribuția Greciei la procesul de transfer de cunoștințe EMPOWER+ constă în principal în experiența sa documentată privind Consiliile Municipale ale Tinerilor, care oferă un model de referință pentru integrarea instituțională a organismelor deliberative ale tinerilor în guvernanța locală. Experiența din Larissa, în special, demonstrează cum un consiliu al tinerilor poate dezvolta relații tematice autentice de lucru cu departamentele municipale, trecând dincolo de consultarea simbolică către o implicare structurată în domenii specifice de politici publice. Constatarea consecventă că și acest context european relativ bine resursat se confruntă cu provocări de subreprezentare rurală și fragilitate a finanțării pe bază de proiecte reprezintă, în sine, o lecție importantă: acestea sunt provocări structurale ale guvernanței tinerilor, nu eșecuri specifice contextelor de dezvoltare.</w:t>
      </w:r>
    </w:p>
    <w:p w:rsidR="00000000" w:rsidDel="00000000" w:rsidP="00000000" w:rsidRDefault="00000000" w:rsidRPr="00000000" w14:paraId="000000B1">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Lecție de transferabilitate</w:t>
      </w:r>
    </w:p>
    <w:p w:rsidR="00000000" w:rsidDel="00000000" w:rsidP="00000000" w:rsidRDefault="00000000" w:rsidRPr="00000000" w14:paraId="000000B2">
      <w:pPr>
        <w:pStyle w:val="Heading3"/>
        <w:keepNext w:val="1"/>
        <w:spacing w:after="60" w:before="200" w:lineRule="auto"/>
        <w:jc w:val="both"/>
        <w:rPr>
          <w:rFonts w:ascii="Poppins" w:cs="Poppins" w:eastAsia="Poppins" w:hAnsi="Poppins"/>
          <w:b w:val="0"/>
          <w:bCs w:val="0"/>
          <w:color w:val="1a1a1a"/>
          <w:sz w:val="22"/>
          <w:szCs w:val="22"/>
        </w:rPr>
      </w:pPr>
      <w:bookmarkStart w:colFirst="0" w:colLast="0" w:name="_heading=h.lk3yurb9ga6t" w:id="11"/>
      <w:bookmarkEnd w:id="11"/>
      <w:r w:rsidDel="00000000" w:rsidR="00000000" w:rsidRPr="00000000">
        <w:rPr>
          <w:rFonts w:ascii="Poppins" w:cs="Poppins" w:eastAsia="Poppins" w:hAnsi="Poppins"/>
          <w:b w:val="0"/>
          <w:bCs w:val="0"/>
          <w:color w:val="1a1a1a"/>
          <w:sz w:val="22"/>
          <w:szCs w:val="22"/>
          <w:rtl w:val="0"/>
        </w:rPr>
        <w:t xml:space="preserve">Chiar și într-o democrație europeană cu venit mediu și acces la fonduri structurale ale UE, Consiliile Municipale ale Tinerilor sunt active în mod inconsistent în zonele rurale, iar finanțarea pe bază de proiecte creează fragilitate structurală. Aceste tipare vor fi mai acute în contextele Africii Subsahariene și necesită măsuri explicite de atenuare în proiectare.</w:t>
      </w:r>
    </w:p>
    <w:p w:rsidR="00000000" w:rsidDel="00000000" w:rsidP="00000000" w:rsidRDefault="00000000" w:rsidRPr="00000000" w14:paraId="000000B3">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2.2.2 Italia</w:t>
      </w:r>
    </w:p>
    <w:p w:rsidR="00000000" w:rsidDel="00000000" w:rsidP="00000000" w:rsidRDefault="00000000" w:rsidRPr="00000000" w14:paraId="000000B4">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Disponibilitatea resurselor și fragmentare instituțională</w:t>
      </w:r>
    </w:p>
    <w:p w:rsidR="00000000" w:rsidDel="00000000" w:rsidP="00000000" w:rsidRDefault="00000000" w:rsidRPr="00000000" w14:paraId="000000B5">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Peisajul participării din Italia combină o disponibilitate semnificativă a resurselor, în special prin PNRR — Planul Național de Redresare și Reziliență — și ecosistemul Erasmus+, cu o fragmentare instituțională pronunțată și o diviziune rural-urbană a participării, deosebit de acută în sudul Italiei și în Sicilia. Consiglio Nazionale dei Giovani, înființat prin Legea 145/2018, oferă consultanță guvernului național și asigură un canal instituțional formal pentru vocea tinerilor la cel mai înalt nivel. Strategia Națională pentru Zonele Interne reprezintă cel mai semnificativ cadru de politici publice care abordează în mod specific teritoriile rurale și marginale, deși dimensiunea sa de implicare a tinerilor rămâne subdezvoltată în raport cu dimensiunile economice și de infrastructură. Rata șomajului în rândul tinerilor din Sicilia, de cincizeci și trei virgulă șase la sută, oferă contextul structural în care trebuie interpretate toate programele de participare: atunci când excluderea economică este atât de severă, implicarea civică concurează direct cu supraviețuirea economică ca prioritate.</w:t>
      </w:r>
    </w:p>
    <w:p w:rsidR="00000000" w:rsidDel="00000000" w:rsidP="00000000" w:rsidRDefault="00000000" w:rsidRPr="00000000" w14:paraId="000000B6">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Bune practici: YEPP, A Rocca și limitele finanțării</w:t>
      </w:r>
    </w:p>
    <w:p w:rsidR="00000000" w:rsidDel="00000000" w:rsidP="00000000" w:rsidRDefault="00000000" w:rsidRPr="00000000" w14:paraId="000000B7">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Bunele practici documentate în raportul italian aferent Sarcinii 2.1 sunt semnificative din punct de vedere analitic pentru procesul de proiectare EMPOWER+. YEPP Italia, Youth Empowerment Partnership Programme, funcționează în peste cincizeci de municipalități rurale prin Grupuri Locale de Sprijin care combină asumarea autentică de către tineri, autoritatea asupra unui buget dedicat și investiția relațională pe termen lung într-un model susținut de-a lungul mai multor cicluri de proiect. Eficacitatea sa nu derivă din nivelul finanțării disponibile, ci din combinația a trei caracteristici: delegații tineri controlează resurse reale; formatul Grupului Local de Sprijin construiește relații susținute între tineri și actorii instituționali în timp; iar metodologia abordează explicit lipsa de încredere și competențe care împiedică tinerii marginalizați din mediul rural să se implice în procese formale. Platforma de internaționalizare Erasmus+ și ESC dezvoltată de A Rocca timp de cincisprezece ani în Barcellona Pozzo di Gotto reprezintă un model de angajament instituțional susținut pentru mobilitatea internațională a tinerilor dintr-un context rural sud-european. Resto al Sud, schema națională de granturi, a ajuns la peste trei mii de tineri antreprenori sicilieni și oferă un model de finanțare publică dedicată pentru capacitarea economică a tinerilor.</w:t>
      </w:r>
    </w:p>
    <w:p w:rsidR="00000000" w:rsidDel="00000000" w:rsidP="00000000" w:rsidRDefault="00000000" w:rsidRPr="00000000" w14:paraId="000000B8">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Lacune și diviziunea rural-urbană</w:t>
      </w:r>
    </w:p>
    <w:p w:rsidR="00000000" w:rsidDel="00000000" w:rsidP="00000000" w:rsidRDefault="00000000" w:rsidRPr="00000000" w14:paraId="000000B9">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Principalele lacune identificate în raportul italian sunt fragmentarea instituțională, absența unei strategii naționale unitare pentru tineret care să coordoneze numeroasele programe și fluxuri de finanțare suprapuse și implementarea slabă a cadrelor regionale de participare a tinerilor în municipalitățile rurale. Structurile de participare din zonele rurale și interne rămân predominant bazate pe proiecte, fără un mandat instituțional care să le asigure continuitatea între ciclurile de finanțare. Oboseala față de consultare documentată în rândul tinerilor italieni, sentimentul că procesele de participare sunt consultative fără consecințe, reflectă concluziile din țările partenere din Africa Subsahariană și consolidează concluzia transversală potrivit căreia trecerea de la consultare la co-decizie este provocarea centrală de proiectare cu care se confruntă toate contextele partenere EMPOWER+.</w:t>
      </w:r>
    </w:p>
    <w:p w:rsidR="00000000" w:rsidDel="00000000" w:rsidP="00000000" w:rsidRDefault="00000000" w:rsidRPr="00000000" w14:paraId="000000BA">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Lecție de transferabilitate</w:t>
      </w:r>
    </w:p>
    <w:p w:rsidR="00000000" w:rsidDel="00000000" w:rsidP="00000000" w:rsidRDefault="00000000" w:rsidRPr="00000000" w14:paraId="000000BB">
      <w:pPr>
        <w:pStyle w:val="Heading3"/>
        <w:keepNext w:val="1"/>
        <w:spacing w:after="60" w:before="200" w:lineRule="auto"/>
        <w:rPr>
          <w:rFonts w:ascii="Poppins" w:cs="Poppins" w:eastAsia="Poppins" w:hAnsi="Poppins"/>
          <w:b w:val="0"/>
          <w:bCs w:val="0"/>
          <w:color w:val="1a1a1a"/>
          <w:sz w:val="22"/>
          <w:szCs w:val="22"/>
        </w:rPr>
      </w:pPr>
      <w:bookmarkStart w:colFirst="0" w:colLast="0" w:name="_heading=h.c46kabozlhue" w:id="12"/>
      <w:bookmarkEnd w:id="12"/>
      <w:r w:rsidDel="00000000" w:rsidR="00000000" w:rsidRPr="00000000">
        <w:rPr>
          <w:rFonts w:ascii="Poppins" w:cs="Poppins" w:eastAsia="Poppins" w:hAnsi="Poppins"/>
          <w:b w:val="0"/>
          <w:bCs w:val="0"/>
          <w:color w:val="1a1a1a"/>
          <w:sz w:val="22"/>
          <w:szCs w:val="22"/>
          <w:rtl w:val="0"/>
        </w:rPr>
        <w:t xml:space="preserve">Nivelurile ridicate de finanțare sunt insuficiente fără coordonare instituțională și un mandat stabil pentru co-decizia tinerilor. Cele mai eficiente modele italiene reușesc deoarece combină resursele cu asumarea autentică de către tineri și investiția relațională susținută, nu doar cu bani.</w:t>
      </w:r>
    </w:p>
    <w:p w:rsidR="00000000" w:rsidDel="00000000" w:rsidP="00000000" w:rsidRDefault="00000000" w:rsidRPr="00000000" w14:paraId="000000BC">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2.2.3 Romania</w:t>
      </w:r>
    </w:p>
    <w:p w:rsidR="00000000" w:rsidDel="00000000" w:rsidP="00000000" w:rsidRDefault="00000000" w:rsidRPr="00000000" w14:paraId="000000B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Teritoriu, context și paralele structurale cu Africa Subsahariană</w:t>
      </w:r>
    </w:p>
    <w:p w:rsidR="00000000" w:rsidDel="00000000" w:rsidP="00000000" w:rsidRDefault="00000000" w:rsidRPr="00000000" w14:paraId="000000BE">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Raportul României se concentrează în mod specific asupra teritoriului GAL Napoca Porolissum, o zonă rurală montană formată din mai multe comune din județul Cluj, caracterizată prin dispersie geografică, conectivitate dificilă în materie de transport și presiuni semnificative de migrație a tinerilor. Această specificitate este o alegere metodologică deliberată, care reflectă logica de proiectare a proiectului: România nu contribuie cu o prezentare națională generală, ci cu un studiu de caz aprofundat al unui context specific de guvernanță rurală, din care lecțiile pentru adaptarea în Africa Subsahariană pot fi extrase cu precizie. Provocările geografice ale teritoriului, infrastructura limitată de transport, populația dispersată în mai multe comune mici și presiunea migrației tinerilor către centrele urbane creează un set de condiții care împărtășesc trăsături structurale importante cu contextele de guvernanță rurală din Africa Subsahariană, chiar și atunci când nivelurile de venit și mediile instituționale diferă fundamental.</w:t>
      </w:r>
    </w:p>
    <w:p w:rsidR="00000000" w:rsidDel="00000000" w:rsidP="00000000" w:rsidRDefault="00000000" w:rsidRPr="00000000" w14:paraId="000000BF">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Modelul RYP bazat pe GAL: metodologie și dovezi</w:t>
      </w:r>
    </w:p>
    <w:p w:rsidR="00000000" w:rsidDel="00000000" w:rsidP="00000000" w:rsidRDefault="00000000" w:rsidRPr="00000000" w14:paraId="000000C0">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Inițiativa Parlamentului Tinerilor Rurali dezvoltată în teritoriul GAL Napoca Porolissum reprezintă cea mai direct transferabilă contribuție europeană la proiectul EMPOWER+. Este un model de deliberare structurată care organizează delegați tineri din comune rurale dispersate într-un format de parlament, produce propuneri de acțiune orientate către comunitate, conectate la procesele de guvernanță ale GAL, și a generat acțiuni comunitare documentate, inclusiv campanii de mediu, evenimente culturale și sprijin pentru proiecte locale de-a lungul mai multor cicluri de implementare. Ghidul complet de facilitare, formatul deliberativ și metodologia de follow-up a acțiunilor comunitare au fost documentate și testate în practică, ceea ce face ca acesta să fie cel mai pregătit model european din consorțiu pentru adaptare. Resursele formale care susțin această activitate includ Legea 52/2003 privind consultarea publică, Legea tinerilor 350/2006, guvernanța LEADER prin structura GAL și Strategia Națională pentru Tineret 2024–2027, care abordează explicit dezavantajele tinerilor din mediul rural într-un mod mai sensibil la rural decât instrumentele echivalente din majoritatea celorlalte țări partenere.</w:t>
      </w:r>
    </w:p>
    <w:p w:rsidR="00000000" w:rsidDel="00000000" w:rsidP="00000000" w:rsidRDefault="00000000" w:rsidRPr="00000000" w14:paraId="000000C1">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Lacune-cheie și provocări de adaptare</w:t>
      </w:r>
    </w:p>
    <w:p w:rsidR="00000000" w:rsidDel="00000000" w:rsidP="00000000" w:rsidRDefault="00000000" w:rsidRPr="00000000" w14:paraId="000000C2">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Principalele lacune identificate în raportul românesc sunt capacitatea limitată de mediere rurală în teritoriile montane dispersate, unde absența lucrătorilor și facilitatorilor de tineret formați în cele mai izolate comune creează o barieră persistentă în calea ajungerii la cei mai izolați tineri; barierele geografice și de transport, care necesită prevederi explicite de resurse pentru sprijinirea participanților; și incertitudinea tranziției instituționale în urma înființării Direcțiilor Județene pentru Familie și Tineret prin Hotărârea Guvernului 197/2022, care a creat o anumită ambiguitate în peisajul instituțional județean pentru programele de tineret. Aceste lacune sunt direct relevante pentru proiectarea RYP în Africa Subsahariană: ele demonstrează că și cea mai atent concepută metodologie se confruntă cu provocări de implementare înrădăcinate în geografia rurală și că facilitatorii comunitari nu sunt elemente opționale de program, ci infrastructură de bază.</w:t>
      </w:r>
    </w:p>
    <w:p w:rsidR="00000000" w:rsidDel="00000000" w:rsidP="00000000" w:rsidRDefault="00000000" w:rsidRPr="00000000" w14:paraId="000000C3">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Lecție de transferabilitate</w:t>
      </w:r>
    </w:p>
    <w:p w:rsidR="00000000" w:rsidDel="00000000" w:rsidP="00000000" w:rsidRDefault="00000000" w:rsidRPr="00000000" w14:paraId="000000C4">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Metodologia RYP bazată pe GAL este cel mai direct aplicabil model european pentru adaptare în Africa Subsahariană. Formatul deliberativ, ghidul de facilitare și legătura cu acțiunea comunitară sunt toate adaptabile, dar strategia de ancorare instituțională trebuie reproiectată pentru fiecare context din Africa Subsahariană, deoarece infrastructura de guvernanță GAL nu are un echivalent direct în Africa Subsahariană.</w:t>
      </w:r>
      <w:r w:rsidDel="00000000" w:rsidR="00000000" w:rsidRPr="00000000">
        <w:rPr>
          <w:rtl w:val="0"/>
        </w:rPr>
      </w:r>
    </w:p>
    <w:p w:rsidR="00000000" w:rsidDel="00000000" w:rsidP="00000000" w:rsidRDefault="00000000" w:rsidRPr="00000000" w14:paraId="000000C5">
      <w:pPr>
        <w:rPr>
          <w:rFonts w:ascii="Poppins" w:cs="Poppins" w:eastAsia="Poppins" w:hAnsi="Poppins"/>
        </w:rPr>
      </w:pPr>
      <w:r w:rsidDel="00000000" w:rsidR="00000000" w:rsidRPr="00000000">
        <w:br w:type="page"/>
      </w:r>
      <w:r w:rsidDel="00000000" w:rsidR="00000000" w:rsidRPr="00000000">
        <w:rPr>
          <w:rtl w:val="0"/>
        </w:rPr>
      </w:r>
    </w:p>
    <w:p w:rsidR="00000000" w:rsidDel="00000000" w:rsidP="00000000" w:rsidRDefault="00000000" w:rsidRPr="00000000" w14:paraId="000000C6">
      <w:pPr>
        <w:pStyle w:val="Heading1"/>
        <w:keepNext w:val="1"/>
        <w:spacing w:after="120" w:before="360" w:lineRule="auto"/>
        <w:rPr>
          <w:rFonts w:ascii="Poppins" w:cs="Poppins" w:eastAsia="Poppins" w:hAnsi="Poppins"/>
          <w:color w:val="2f6b3a"/>
        </w:rPr>
      </w:pPr>
      <w:bookmarkStart w:colFirst="0" w:colLast="0" w:name="_heading=h.60ebg42oy089" w:id="13"/>
      <w:bookmarkEnd w:id="13"/>
      <w:r w:rsidDel="00000000" w:rsidR="00000000" w:rsidRPr="00000000">
        <w:rPr>
          <w:rFonts w:ascii="Poppins" w:cs="Poppins" w:eastAsia="Poppins" w:hAnsi="Poppins"/>
          <w:color w:val="2f6b3a"/>
          <w:rtl w:val="0"/>
        </w:rPr>
        <w:t xml:space="preserve">3. Concluziile pe țări ale Sarcinii 2.2: instrumente de participare și dovezi din partea actorilor relevanți</w:t>
      </w:r>
    </w:p>
    <w:p w:rsidR="00000000" w:rsidDel="00000000" w:rsidP="00000000" w:rsidRDefault="00000000" w:rsidRPr="00000000" w14:paraId="000000C7">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Această secțiune consolidează concluziile din cele șapte rapoarte analitice finalizate în cadrul Sarcinii 2.2. Fiecare raport cartografiază instrumentele și documentele naționale de participare a tinerilor la politicile publice, analizează cadrul juridic și de politici publice cu atenție specifică asupra relevanței rurale și a lacunelor de implementare și sintetizează concluziile rezultate din focus-grupuri sau consultări cu actorii relevanți privind eficacitatea instrumentelor existente. Împreună, aceste rapoarte mută analiza de la ceea ce există pe hârtie la modul în care instrumentele de participare sunt experimentate în practică de tinerii din mediul rural și de actorii relevanți care interacționează cu aceștia.</w:t>
      </w:r>
      <w:r w:rsidDel="00000000" w:rsidR="00000000" w:rsidRPr="00000000">
        <w:rPr>
          <w:rtl w:val="0"/>
        </w:rPr>
      </w:r>
    </w:p>
    <w:p w:rsidR="00000000" w:rsidDel="00000000" w:rsidP="00000000" w:rsidRDefault="00000000" w:rsidRPr="00000000" w14:paraId="000000C8">
      <w:pPr>
        <w:pStyle w:val="Heading2"/>
        <w:keepNext w:val="1"/>
        <w:spacing w:after="80" w:before="280" w:lineRule="auto"/>
        <w:rPr>
          <w:rFonts w:ascii="Poppins" w:cs="Poppins" w:eastAsia="Poppins" w:hAnsi="Poppins"/>
          <w:color w:val="b7c3a1"/>
        </w:rPr>
      </w:pPr>
      <w:bookmarkStart w:colFirst="0" w:colLast="0" w:name="_heading=h.9utty7ypr95g" w:id="14"/>
      <w:bookmarkEnd w:id="14"/>
      <w:r w:rsidDel="00000000" w:rsidR="00000000" w:rsidRPr="00000000">
        <w:rPr>
          <w:rFonts w:ascii="Poppins" w:cs="Poppins" w:eastAsia="Poppins" w:hAnsi="Poppins"/>
          <w:color w:val="b7c3a1"/>
          <w:rtl w:val="0"/>
        </w:rPr>
        <w:t xml:space="preserve">3.1 Țările din Africa Subsahariană</w:t>
      </w:r>
    </w:p>
    <w:p w:rsidR="00000000" w:rsidDel="00000000" w:rsidP="00000000" w:rsidRDefault="00000000" w:rsidRPr="00000000" w14:paraId="000000C9">
      <w:pPr>
        <w:pStyle w:val="Heading2"/>
        <w:keepNext w:val="1"/>
        <w:spacing w:after="80" w:before="28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3.1.1 Botswana</w:t>
      </w:r>
    </w:p>
    <w:p w:rsidR="00000000" w:rsidDel="00000000" w:rsidP="00000000" w:rsidRDefault="00000000" w:rsidRPr="00000000" w14:paraId="000000CA">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Cartografierea instrumentelor: categorii și acoperire</w:t>
      </w:r>
    </w:p>
    <w:p w:rsidR="00000000" w:rsidDel="00000000" w:rsidP="00000000" w:rsidRDefault="00000000" w:rsidRPr="00000000" w14:paraId="000000CB">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Raportul Botswanei aferent Sarcinii 2.2 este cel mai cuprinzător din punct de vedere metodologic în clusterul Africii Subsahariene, bazându-se pe două focus-grupuri structurate, multi-actor, concepute pentru a surprinde perspective instituționale diverse: primul în Mogobane, cu participarea unui membru al Parlamentului, a consilierilor, a conducerii Comitetului de Dezvoltare a Satului, a unui formator de tineret și a unui reprezentant Youth Unlimited; al doilea în Tlokweng, cu participarea liderilor tradiționali și comunitari, a administrației districtuale, a responsabililor de programe pentru tineret, a reprezentanților Parlamentului Tinerilor și a unui lider al Nkaikela Youth Group. Acest design de focus-grup cu perspective multiple reprezintă un punct forte metodologic, deoarece permite analizei să surprindă în același exercițiu atât perspective instituționale formale, cât și experiențe la nivel comunitar privind eficacitatea instrumentelor de participare.</w:t>
      </w:r>
    </w:p>
    <w:p w:rsidR="00000000" w:rsidDel="00000000" w:rsidP="00000000" w:rsidRDefault="00000000" w:rsidRPr="00000000" w14:paraId="000000CC">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Cartografierea instrumentelor identifică cinci categorii. Documentele naționale de politici publice, inclusiv Politica Națională Revizuită pentru Tineret din 2010 și Carta Africană a Tineretului, stabilesc cadrul normativ și baza drepturilor pentru participare. Instrumentele naționale de program, inclusiv Fondul pentru Dezvoltarea Tinerilor și structurile districtuale ale responsabililor de tineret, oferă mecanismele administrative și financiare de implementare care conectează angajamentele de politici publice la acțiunea la nivel comunitar. Instrumentele de guvernanță locală, inclusiv Comitetele de Dezvoltare a Satelor, întâlnirile la nivel de ward și interfețele cu consilierii, oferă spațiile de participare subnaționale cele mai apropiate de comunitățile rurale și cele mai accesibile din perspectiva distanței de deplasare. Spațiile de guvernanță cutumiară, Kgotla și sălile comunitare, oferă spații deliberative înrădăcinate cultural, cu cea mai mare legitimitate comunitară. Canalele societății civile și cele digitale, inclusiv organizațiile naționale, platformele de social media și radioul comunitar, oferă infrastructură suplimentară de comunicare și mobilizare. Standardele internaționale, în special Commonwealth Parliamentary Association Youth Parliament Toolkit și International IDEA Youth Parliamentary Academy Toolkit, oferă repere de proiectare pentru formate structurate de simulare parlamentară relevante pentru proiectarea RYP.</w:t>
      </w:r>
    </w:p>
    <w:p w:rsidR="00000000" w:rsidDel="00000000" w:rsidP="00000000" w:rsidRDefault="00000000" w:rsidRPr="00000000" w14:paraId="000000C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Dovezi din focus-grupuri: conștientizare, accesibilitate și eficacitate</w:t>
      </w:r>
    </w:p>
    <w:p w:rsidR="00000000" w:rsidDel="00000000" w:rsidP="00000000" w:rsidRDefault="00000000" w:rsidRPr="00000000" w14:paraId="000000CE">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Concluziile focus-grupurilor din Mogobane și Tlokweng relevă tipare constante privind nivelul de conștientizare, accesibilitatea și eficacitatea instrumentelor cartografiate. Gradul de conștientizare a instrumentelor formale de participare este inegal, cu lacune semnificative în rândul tinerilor din cele mai izolate comunități, care nu au acces la canale constante de informare. Mulți tineri din mediul rural nu cunosc YDF, Parlamentul Tinerilor și nici măcar mecanismele formale de consultare asociate VDC-urilor. Accesibilitatea este limitată de o combinație între programarea în zile lucrătoare, care intră în conflict cu activitățile de subzistență, distanța culturală dintre spațiile și procedurile formale și normele cotidiene de comunicare ale tinerilor din mediul rural, precum și inegalitatea digitală care limitează raza de acțiune a platformelor online de participare la tinerii cu conectivitate adecvată. Eficacitatea, dimensiunea care modelează cel mai direct dacă tinerii continuă să se implice, este evaluată de participanți în primul rând prin prisma influenței trasabile: produce participarea un rezultat vizibil? Răspunsul consecvent în ambele focus-grupuri este că nu, sau cel puțin că participanții nu pot indica exemple documentate în care acest lucru s-a întâmplat. Absența influenței trasabile este principalul mecanism al dezangajării.</w:t>
      </w:r>
    </w:p>
    <w:p w:rsidR="00000000" w:rsidDel="00000000" w:rsidP="00000000" w:rsidRDefault="00000000" w:rsidRPr="00000000" w14:paraId="000000CF">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Recomandări rezultate din dovezi</w:t>
      </w:r>
    </w:p>
    <w:p w:rsidR="00000000" w:rsidDel="00000000" w:rsidP="00000000" w:rsidRDefault="00000000" w:rsidRPr="00000000" w14:paraId="000000D0">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Raportul aferent Sarcinii 2.2 se încheie cu patru recomandări fundamentate pe dovezi pentru contextul Botswanei. În primul rând, practicile de răspuns instituțional trebuie consolidate: autoritățile care interacționează cu tinerii prin Kgotla, VDC și procesele consilierilor ar trebui să fie obligate să ofere feedback, într-un termen definit, privind ce s-a întâmplat cu contribuțiile tinerilor. În al doilea rând, asumarea de către tineri a proceselor de politici publice ar trebui sporită prin dezvoltarea unor mecanisme structurate de stabilire a agendei conduse de tineri, care să permită tinerilor din mediul rural să determine temele întâlnirilor de participare, în loc să răspundă unor agende definite instituțional. În al treilea rând, formatele de participare ar trebui diversificate dincolo de întâlnirile formale, incluzând dialoguri la radio comunitar, discuții facilitate de egali și platforme digitale accesibile pe conexiuni cu bandă redusă. În al patrulea rând, încrederea civică ar trebui construită prin trasee structurate de leadership care creează roluri recunoscute pentru tineri în guvernanța comunitară înainte de a le cere să ia cuvântul în adunări formale dominate de vârstnici.</w:t>
      </w:r>
    </w:p>
    <w:p w:rsidR="00000000" w:rsidDel="00000000" w:rsidP="00000000" w:rsidRDefault="00000000" w:rsidRPr="00000000" w14:paraId="000000D1">
      <w:pPr>
        <w:pStyle w:val="Heading3"/>
        <w:keepNext w:val="1"/>
        <w:spacing w:after="60" w:before="200" w:lineRule="auto"/>
        <w:rPr>
          <w:rFonts w:ascii="Poppins" w:cs="Poppins" w:eastAsia="Poppins" w:hAnsi="Poppins"/>
          <w:color w:val="2f6b3a"/>
        </w:rPr>
      </w:pPr>
      <w:bookmarkStart w:colFirst="0" w:colLast="0" w:name="_heading=h.8you1al079hx" w:id="15"/>
      <w:bookmarkEnd w:id="15"/>
      <w:r w:rsidDel="00000000" w:rsidR="00000000" w:rsidRPr="00000000">
        <w:rPr>
          <w:rFonts w:ascii="Poppins" w:cs="Poppins" w:eastAsia="Poppins" w:hAnsi="Poppins"/>
          <w:color w:val="2f6b3a"/>
          <w:rtl w:val="0"/>
        </w:rPr>
        <w:t xml:space="preserve">3.1.2 Madagascar</w:t>
      </w:r>
    </w:p>
    <w:p w:rsidR="00000000" w:rsidDel="00000000" w:rsidP="00000000" w:rsidRDefault="00000000" w:rsidRPr="00000000" w14:paraId="000000D2">
      <w:pPr>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Cartografierea instrumentelor și abordarea metodologică</w:t>
      </w:r>
    </w:p>
    <w:p w:rsidR="00000000" w:rsidDel="00000000" w:rsidP="00000000" w:rsidRDefault="00000000" w:rsidRPr="00000000" w14:paraId="000000D3">
      <w:pPr>
        <w:jc w:val="both"/>
        <w:rPr>
          <w:rFonts w:ascii="Poppins" w:cs="Poppins" w:eastAsia="Poppins" w:hAnsi="Poppins"/>
        </w:rPr>
      </w:pPr>
      <w:r w:rsidDel="00000000" w:rsidR="00000000" w:rsidRPr="00000000">
        <w:rPr>
          <w:rFonts w:ascii="Poppins" w:cs="Poppins" w:eastAsia="Poppins" w:hAnsi="Poppins"/>
          <w:rtl w:val="0"/>
        </w:rPr>
        <w:t xml:space="preserve">Raportul Madagascar aferent Sarcinii 2.2 se bazează pe o serie de focus-grupuri realizate cu tineri care trăiesc în zone rurale din districte selectate ale Madagascarului, completând sondajul și interviurile cu actorii relevanți deja documentate în concluziile Sarcinii 2.1. Fiecare focus-grup a inclus între opt și doisprezece participanți cu vârste între cincisprezece și treizeci de ani, cu eforturi deliberate de a asigura diversitate în ceea ce privește genul, nivelul educațional și statutul ocupațional. Sesiunile au fost facilitate de moderatori instruiți, folosind un ghid structurat de discuție alături de fișe interactive de activitate, inclusiv notițe adezive și exerciții de vot cu puncte. Datele au fost colectate prin note scrise, sinteze pe flipchart, șabloane de focus-grup și instrumente digitale Excel, asigurând o analiză sistematică între sesiuni.</w:t>
      </w:r>
    </w:p>
    <w:p w:rsidR="00000000" w:rsidDel="00000000" w:rsidP="00000000" w:rsidRDefault="00000000" w:rsidRPr="00000000" w14:paraId="000000D4">
      <w:pPr>
        <w:jc w:val="both"/>
        <w:rPr>
          <w:rFonts w:ascii="Poppins" w:cs="Poppins" w:eastAsia="Poppins" w:hAnsi="Poppins"/>
          <w:b w:val="1"/>
          <w:bCs w:val="1"/>
        </w:rPr>
      </w:pPr>
      <w:r w:rsidDel="00000000" w:rsidR="00000000" w:rsidRPr="00000000">
        <w:rPr>
          <w:rtl w:val="0"/>
        </w:rPr>
      </w:r>
    </w:p>
    <w:p w:rsidR="00000000" w:rsidDel="00000000" w:rsidP="00000000" w:rsidRDefault="00000000" w:rsidRPr="00000000" w14:paraId="000000D5">
      <w:pPr>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Teme-cheie și concluzii</w:t>
      </w:r>
    </w:p>
    <w:p w:rsidR="00000000" w:rsidDel="00000000" w:rsidP="00000000" w:rsidRDefault="00000000" w:rsidRPr="00000000" w14:paraId="000000D6">
      <w:pPr>
        <w:jc w:val="both"/>
        <w:rPr>
          <w:rFonts w:ascii="Poppins" w:cs="Poppins" w:eastAsia="Poppins" w:hAnsi="Poppins"/>
        </w:rPr>
      </w:pPr>
      <w:r w:rsidDel="00000000" w:rsidR="00000000" w:rsidRPr="00000000">
        <w:rPr>
          <w:rFonts w:ascii="Poppins" w:cs="Poppins" w:eastAsia="Poppins" w:hAnsi="Poppins"/>
          <w:rtl w:val="0"/>
        </w:rPr>
        <w:t xml:space="preserve">Focus-grupurile au explorat cinci arii tematice interconectate. În ceea ce privește educația și dezvoltarea competențelor, participanții au identificat în mod constant accesul limitat la educație de calitate, absența oportunităților de formare profesională, nivelurile scăzute de alfabetizare digitală și dezvoltarea insuficientă a competențelor de leadership ca principale constrângeri asupra viitorului lor civic și economic. În ceea ce privește ocuparea forței de muncă și oportunitățile economice, lipsa locurilor de muncă rurale, constrângerile financiare și barierele semnificative în calea antreprenoriatului și a activităților independente au apărut ca preocupări dominante, consolidând constatarea Sarcinii 2.1 potrivit căreia excluderea economică este o barieră directă și structurală în calea participării civice, nu doar o condiție de fundal. În ceea ce privește participarea și leadershipul tinerilor, discuțiile au relevat implicarea limitată a tinerilor în luarea deciziilor comunitare, nivelul scăzut de conștientizare a programelor existente pentru tineret și absența platformelor structurate pentru implicarea tinerilor ca cele trei lacune instituționale identificate cel mai consecvent. În ceea ce privește egalitatea de gen și provocările sociale, participanții au identificat inegalitățile persistente între tineri și tinere, căsătoria timpurie, abuzul de substanțe și migrația ca bariere sociale cumulative care reduc atât capacitatea, cât și oportunitatea de participare a tinerilor din mediul rural. În ceea ce privește nevoile de dezvoltare comunitară, participanții au exprimat o cerere puternică și constantă pentru dezvoltarea infrastructurii, îmbunătățirea accesului digital și sprijin instituțional mai mare pentru inițiativele conduse de tineri.</w:t>
      </w:r>
    </w:p>
    <w:p w:rsidR="00000000" w:rsidDel="00000000" w:rsidP="00000000" w:rsidRDefault="00000000" w:rsidRPr="00000000" w14:paraId="000000D7">
      <w:pPr>
        <w:jc w:val="both"/>
        <w:rPr>
          <w:rFonts w:ascii="Poppins" w:cs="Poppins" w:eastAsia="Poppins" w:hAnsi="Poppins"/>
        </w:rPr>
      </w:pPr>
      <w:r w:rsidDel="00000000" w:rsidR="00000000" w:rsidRPr="00000000">
        <w:rPr>
          <w:rtl w:val="0"/>
        </w:rPr>
      </w:r>
    </w:p>
    <w:p w:rsidR="00000000" w:rsidDel="00000000" w:rsidP="00000000" w:rsidRDefault="00000000" w:rsidRPr="00000000" w14:paraId="000000D8">
      <w:pPr>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Constatarea critică: disponibilitate în mijlocul adversității</w:t>
      </w:r>
    </w:p>
    <w:p w:rsidR="00000000" w:rsidDel="00000000" w:rsidP="00000000" w:rsidRDefault="00000000" w:rsidRPr="00000000" w14:paraId="000000D9">
      <w:pPr>
        <w:jc w:val="both"/>
        <w:rPr>
          <w:rFonts w:ascii="Poppins" w:cs="Poppins" w:eastAsia="Poppins" w:hAnsi="Poppins"/>
        </w:rPr>
      </w:pPr>
      <w:r w:rsidDel="00000000" w:rsidR="00000000" w:rsidRPr="00000000">
        <w:rPr>
          <w:rFonts w:ascii="Poppins" w:cs="Poppins" w:eastAsia="Poppins" w:hAnsi="Poppins"/>
          <w:rtl w:val="0"/>
        </w:rPr>
        <w:t xml:space="preserve">Cea mai semnificativă constatare analitică din focus-grupurile din Madagascar este diferența dintre severitatea barierelor structurale documentate și forța motivației civice exprimate. În ciuda multiplelor provocări interconectate cu care se confruntă, inclusiv acces limitat la educație și formare, absența oportunităților de ocupare și excluderea structurală de la luarea deciziilor, participanții au exprimat o disponibilitate puternică și constantă de a se implica, de a contribui la comunitățile lor și de a face parte dintr-o schimbare semnificativă. Această constatare validează direct și aprofundează concluzia Sarcinii 2.1 potrivit căreia principala provocare de proiectare în Madagascar nu este generarea motivației tinerilor, ci crearea condițiilor economice, informaționale și instituționale care să permită transformarea acestei motivații în implicare civică susținută.</w:t>
      </w:r>
    </w:p>
    <w:p w:rsidR="00000000" w:rsidDel="00000000" w:rsidP="00000000" w:rsidRDefault="00000000" w:rsidRPr="00000000" w14:paraId="000000DA">
      <w:pPr>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Implicații pentru proiectarea RYP în Madagascar</w:t>
      </w:r>
    </w:p>
    <w:p w:rsidR="00000000" w:rsidDel="00000000" w:rsidP="00000000" w:rsidRDefault="00000000" w:rsidRPr="00000000" w14:paraId="000000DB">
      <w:pPr>
        <w:jc w:val="both"/>
        <w:rPr>
          <w:rFonts w:ascii="Poppins" w:cs="Poppins" w:eastAsia="Poppins" w:hAnsi="Poppins"/>
        </w:rPr>
      </w:pPr>
      <w:r w:rsidDel="00000000" w:rsidR="00000000" w:rsidRPr="00000000">
        <w:rPr>
          <w:rFonts w:ascii="Poppins" w:cs="Poppins" w:eastAsia="Poppins" w:hAnsi="Poppins"/>
          <w:rtl w:val="0"/>
        </w:rPr>
        <w:t xml:space="preserve">Dovezile din focus-grupuri generează patru priorități specifice de proiectare pentru RYP EMPOWER+ în Madagascar. În primul rând, RYP trebuie să abordeze explicit dimensiunea educației și a competențelor alături de dimensiunea participării: sesiunile de deliberare ar trebui să includă componente de dezvoltare a competențelor de leadership și alfabetizare digitală, recunoscând că capacitatea civică și accesul la educație sunt conectate structural în contextul Madagascarului. În al doilea rând, agenda RYP trebuie să fie conectată direct la realitățile economice ale tinerilor din mediul rural, inclusiv ocuparea forței de muncă, antreprenoriatul, accesul la terenuri și formarea profesională, în loc să trateze participarea civică separat de preocupările privind mijloacele de trai. În al treilea rând, incluziunea de gen trebuie să fie o cerință constituțională de proiectare de la început: focus-grupurile confirmă că tinerele femei se confruntă cu bariere suplimentare și cumulative, inclusiv căsătoria timpurie și normele sociale, care necesită răspunsuri structurale de proiectare, nu angajamente voluntare de incluziune. În al patrulea rând, RYP trebuie să fie proiectat cu o orientare explicită spre rezultate de dezvoltare comunitară, răspunzând cererii puternice a participanților pentru sprijin în infrastructură și susținere instituțională a inițiativelor conduse de tineri și asigurând că deliberările RYP produc acțiuni comunitare vizibile, care demonstrează capacitatea de acțiune consecventă a tinerilor.</w:t>
      </w:r>
    </w:p>
    <w:p w:rsidR="00000000" w:rsidDel="00000000" w:rsidP="00000000" w:rsidRDefault="00000000" w:rsidRPr="00000000" w14:paraId="000000DC">
      <w:pPr>
        <w:pStyle w:val="Heading3"/>
        <w:keepNext w:val="1"/>
        <w:spacing w:after="60" w:before="200" w:lineRule="auto"/>
        <w:rPr>
          <w:rFonts w:ascii="Poppins" w:cs="Poppins" w:eastAsia="Poppins" w:hAnsi="Poppins"/>
          <w:color w:val="2f6b3a"/>
        </w:rPr>
      </w:pPr>
      <w:bookmarkStart w:colFirst="0" w:colLast="0" w:name="_heading=h.eqn0umj8o4xv" w:id="16"/>
      <w:bookmarkEnd w:id="16"/>
      <w:r w:rsidDel="00000000" w:rsidR="00000000" w:rsidRPr="00000000">
        <w:rPr>
          <w:rFonts w:ascii="Poppins" w:cs="Poppins" w:eastAsia="Poppins" w:hAnsi="Poppins"/>
          <w:color w:val="2f6b3a"/>
          <w:rtl w:val="0"/>
        </w:rPr>
        <w:t xml:space="preserve">3.1.3 Mauritius</w:t>
      </w:r>
    </w:p>
    <w:p w:rsidR="00000000" w:rsidDel="00000000" w:rsidP="00000000" w:rsidRDefault="00000000" w:rsidRPr="00000000" w14:paraId="000000D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Cartografierea instrumentelor și analiza cadrului</w:t>
      </w:r>
    </w:p>
    <w:p w:rsidR="00000000" w:rsidDel="00000000" w:rsidP="00000000" w:rsidRDefault="00000000" w:rsidRPr="00000000" w14:paraId="000000DE">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Raportul Mauritius aferent Sarcinii 2.2 cartografiază instrumentele de participare în cinci categorii, cu un nivel de detaliu instituțional care reflectă dezvoltarea relativă a ecosistemului de guvernanță a tinerilor din Mauritius. Instrumentele naționale de politici publice, în principal Politica Națională pentru Tineret din 2016 și Programul Național de Dezvoltare a Tinerilor, oferă cadrul strategic în care funcționează toate celelalte instrumente. Structurile formale de participare, inclusiv Consiliile Regionale ale Tinerilor din fiecare district, Parlamentul bienal al Tinerilor din Mauritius și Centrele de Tineret districtuale, oferă arhitectura instituțională pentru implicarea structurată a tinerilor. Platformele de consultare, inclusiv Forumurile Naționale ale Tinerilor și mecanismele de consultare la nivel districtual, oferă oportunități periodice de voce colectivă. Centrele de Tineret la nivel comunitar, cu acces la internet și interfețe cu serviciile guvernamentale, oferă infrastructură fizică ce reduce unele dintre barierele de acces pentru tinerii din mediul rural. Cadrele internaționale, inclusiv Carta Africană a Tineretului și Ghidurile ONU pentru tineret, oferă baza normativă pentru abordările participării bazate pe drepturi. În acest peisaj cartografiat, Parlamentul Tinerilor este identificat ca mecanismul cu cea mai mare influență asupra deciziei, atât pentru că produce propuneri formale către factorii de decizie naționali, cât și pentru că ciclul său bienal creează momente previzibile de responsabilizare care lipsesc altor structuri.</w:t>
      </w:r>
    </w:p>
    <w:p w:rsidR="00000000" w:rsidDel="00000000" w:rsidP="00000000" w:rsidRDefault="00000000" w:rsidRPr="00000000" w14:paraId="000000DF">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Concluziile focus-grupurilor: diviziunea de acces urban-rural</w:t>
      </w:r>
    </w:p>
    <w:p w:rsidR="00000000" w:rsidDel="00000000" w:rsidP="00000000" w:rsidRDefault="00000000" w:rsidRPr="00000000" w14:paraId="000000E0">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Focus-grupurile realizate cu douăzeci și cinci de tineri cu vârste între șaisprezece și douăzeci și nouă de ani din districte urbane și rurale, inclusiv Rodrigues, relevă o diviziune urban-rurală clară și constantă privind accesul, pe care arhitectura instituțională formală nu o abordează pe deplin. Participanții rurali menționează distanța și costurile de transport ca bariere principale de o natură calitativ diferită față de cele cu care se confruntă participanții urbani: pentru tinerii rurali din Rodrigues în special, participarea la activități pe insula principală Mauritius necesită deplasare între insule, ceea ce este prohibitiv financiar și logistic pentru majoritatea tinerilor fără sprijin instituțional. Nivelul mai scăzut de conștientizare a oportunităților de participare este documentat ca o a doua barieră semnificativă, tinerii rurali raportând că află despre consiliile tinerilor, forumuri și oportunități de parlament prin rețele informale care sunt mai dense în zonele urbane. Participarea este caracterizată drept „parțial semnificativă”: tinerii își pot exprima opiniile, iar aceste opinii sunt primite formal, dar legătura cauzală dintre recomandările tinerilor și rezultatele vizibile ale guvernanței este slabă și rar comunicată înapoi participanților. Obstacolele birocratice și temele de consultare care nu reflectă prioritățile rurale locale sunt identificate ca principale surse de deconectare între structurile formale de participare și problemele care contează cel mai mult pentru tinerii din mediul rural.</w:t>
      </w:r>
    </w:p>
    <w:p w:rsidR="00000000" w:rsidDel="00000000" w:rsidP="00000000" w:rsidRDefault="00000000" w:rsidRPr="00000000" w14:paraId="000000E1">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Recomandări pentru proiectarea RYP în Mauritius</w:t>
      </w:r>
    </w:p>
    <w:p w:rsidR="00000000" w:rsidDel="00000000" w:rsidP="00000000" w:rsidRDefault="00000000" w:rsidRPr="00000000" w14:paraId="000000E2">
      <w:pPr>
        <w:pStyle w:val="Heading3"/>
        <w:keepNext w:val="1"/>
        <w:spacing w:after="60" w:before="200" w:lineRule="auto"/>
        <w:jc w:val="both"/>
        <w:rPr>
          <w:rFonts w:ascii="Poppins" w:cs="Poppins" w:eastAsia="Poppins" w:hAnsi="Poppins"/>
          <w:b w:val="0"/>
          <w:bCs w:val="0"/>
          <w:color w:val="1a1a1a"/>
          <w:sz w:val="22"/>
          <w:szCs w:val="22"/>
        </w:rPr>
      </w:pPr>
      <w:bookmarkStart w:colFirst="0" w:colLast="0" w:name="_heading=h.v9fdppu9rd6v" w:id="17"/>
      <w:bookmarkEnd w:id="17"/>
      <w:r w:rsidDel="00000000" w:rsidR="00000000" w:rsidRPr="00000000">
        <w:rPr>
          <w:rFonts w:ascii="Poppins" w:cs="Poppins" w:eastAsia="Poppins" w:hAnsi="Poppins"/>
          <w:b w:val="0"/>
          <w:bCs w:val="0"/>
          <w:color w:val="1a1a1a"/>
          <w:sz w:val="22"/>
          <w:szCs w:val="22"/>
          <w:rtl w:val="0"/>
        </w:rPr>
        <w:t xml:space="preserve">Analiza aferentă Sarcinii 2.2 pentru Mauritius generează patru recomandări principale cu relevanță directă pentru proiectarea RYP. În primul rând, dependența de afiliere care exclude tinerii independenți din mediul rural de la structurile formale trebuie abordată prin crearea unor căi de participare accesibile și neafiliate la nivel districtual. În al doilea rând, barierele geografice și logistice cu care se confruntă tinerii din Rodrigues necesită răspunsuri specifice de proiectare, inclusiv prevederi de resurse dedicate pentru participarea între insule și dezvoltarea unor activități RYP bazate în Rodrigues, care să nu necesite deplasare pe insula principală pentru implicarea de rutină. În al treilea rând, bucla de feedback dintre rezultatele RYP și răspunsurile guvernamentale trebuie formalizată și făcută publică, abordând percepția de „participare parțial semnificativă” care limitează în prezent implicarea susținută. În al patrulea rând, agenda de conținut a deliberărilor RYP ar trebui să includă în mod explicit mijloacele de trai rurale, dezvoltarea agricolă, accesul la terenuri și ocuparea rurală, conectând RYP la problemele de cea mai mare urgență practică pentru tinerii rurali, în loc să reproducă accentul generic pe educație civică al structurilor existente.</w:t>
      </w:r>
    </w:p>
    <w:p w:rsidR="00000000" w:rsidDel="00000000" w:rsidP="00000000" w:rsidRDefault="00000000" w:rsidRPr="00000000" w14:paraId="000000E3">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3.1.4 Nigeria</w:t>
      </w:r>
    </w:p>
    <w:p w:rsidR="00000000" w:rsidDel="00000000" w:rsidP="00000000" w:rsidRDefault="00000000" w:rsidRPr="00000000" w14:paraId="000000E4">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Cartografierea instrumentelor: categorii formale, informale și hibride</w:t>
      </w:r>
    </w:p>
    <w:p w:rsidR="00000000" w:rsidDel="00000000" w:rsidP="00000000" w:rsidRDefault="00000000" w:rsidRPr="00000000" w14:paraId="000000E5">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Contribuția Nigeriei la Sarcina 2.2 cartografiază instrumentele de participare în trei categorii distincte din punct de vedere analitic, care reflectă structura formală, informală și hibridă identificată în analiza Sarcinii 2.1. Instrumentele formale includ Parlamentul Tinerilor din Nigeria, rețeaua NYCN, parlamentele statale ale tinerilor și mecanismele statutare de consultare asociate planificării administrației locale. Cel mai promițător instrument formal identificat este Parlamentul Tinerilor din statul Gombe, care a dezvoltat un model testat de deliberare structurată a tinerilor, cu legături formale cu legislativul statal și un istoric documentat de producere a unor rezoluții care ajung la examinare oficială. Mișcarea de responsabilizare Follow the Money, condusă de CODE, Connected Development, oferă un model de advocacy condusă de tineri pentru transparență bugetară, care a demonstrat impact măsurabil asupra politicilor publice și reprezintă un hibrid unic de eficient între activismul societății civile și implicarea în guvernanța formală. Instrumentele informale, inclusiv asociațiile pe grupe de vârstă și sistemul tradițional de leadership al tinerilor Sarkin Samari, sunt evaluate de toți respondenții drept cele mai accesibile și mai de încredere mecanisme de participare pentru tinerii din mediul rural. Parlamentele Copiilor sprijinite de UNICEF oferă o experiență deliberativă de intrare pentru participanții mai tineri, care creează un traseu către o implicare mai substanțială în parlamentul tinerilor.</w:t>
      </w:r>
    </w:p>
    <w:p w:rsidR="00000000" w:rsidDel="00000000" w:rsidP="00000000" w:rsidRDefault="00000000" w:rsidRPr="00000000" w14:paraId="000000E6">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Validarea actorilor relevanți: decalajul de percepție</w:t>
      </w:r>
    </w:p>
    <w:p w:rsidR="00000000" w:rsidDel="00000000" w:rsidP="00000000" w:rsidRDefault="00000000" w:rsidRPr="00000000" w14:paraId="000000E7">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Designul interviurilor comparative structurate, implicând trei respondenți diferențiați după rolul instituțional și proximitatea față de tinerii din mediul rural, produce cea mai izbitoare constatare analitică din baza de dovezi a Sarcinii 2.2 pentru Africa Subsahariană. Respondentul din zona politicilor publice raportează că există „mai multe” oportunități de participare a tinerilor și că opiniile tinerilor sunt luate în serios „adesea”, reflectând perspectiva unui actor instituțional care vede arhitectura formală a structurilor statale și NYCN ca pe un sistem funcțional de participare. Liderul comunitar și reprezentantul organizației de tineret raportează amândoi că există „doar câteva” oportunități și că opiniile sunt luate în serios „uneori”, reflectând perspectiva actorilor ancorați în realitatea comunitară, unde structurile formale sunt îndepărtate, inaccesibile și adesea neresponsive. Confortul tinerilor de a-și exprima opiniile în spații formale este evaluat la doi-trei din zece de către respondenții apropiați de comunitate, o constatare deosebit de semnificativă având în vedere arhitectura formală extinsă a participării tinerilor din Nigeria. Solicitarea liderului comunitar privind „bază legală pentru Parlamentul Tinerilor pentru o performanță mai implicată” validează puternic recomandarea de ancorare instituțională: cea mai importantă intervenție de proiectare în contextul nigerian nu este crearea unui nou spațiu de participare, ci consolidarea juridică și financiară a celor existente.</w:t>
      </w:r>
    </w:p>
    <w:p w:rsidR="00000000" w:rsidDel="00000000" w:rsidP="00000000" w:rsidRDefault="00000000" w:rsidRPr="00000000" w14:paraId="000000E8">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Implicații pentru proiectarea RYP în Nigeria</w:t>
      </w:r>
    </w:p>
    <w:p w:rsidR="00000000" w:rsidDel="00000000" w:rsidP="00000000" w:rsidRDefault="00000000" w:rsidRPr="00000000" w14:paraId="000000E9">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Analiza Nigeriei aferentă Sarcinii 2.2 indică trei priorități specifice de proiectare pentru RYP EMPOWER+. În primul rând, RYP trebuie ancorat la nivel de LGA, printr-o rezoluție formală a consiliului și o linie bugetară dedicată, oricât de modestă, stabilindu-i legitimitatea instituțională în cadrul sistemului administrației locale. În al doilea rând, proiectarea RYP trebuie să integreze activ leadershipul asociațiilor pe grupe de vârstă și șefii tradiționali ai tinerilor Sarkin Samari ca parteneri formali, nu să îi trateze ca actori externi, valorificând legitimitatea comunitară pe care aceste instituții o au deja. În al treilea rând, metodologia Follow the Money ar trebui integrată ca o componentă de consolidare a capacității în cadrul RYP, dotând delegații tineri cu competențele de alfabetizare bugetară și advocacy pentru responsabilizare necesare pentru a urmări dacă alocările bugetare LGA relevante pentru tinerii din mediul rural sunt implementate conform angajamentelor asumate.</w:t>
      </w:r>
    </w:p>
    <w:p w:rsidR="00000000" w:rsidDel="00000000" w:rsidP="00000000" w:rsidRDefault="00000000" w:rsidRPr="00000000" w14:paraId="000000EA">
      <w:pPr>
        <w:pStyle w:val="Heading2"/>
        <w:keepNext w:val="1"/>
        <w:spacing w:after="80" w:before="280" w:lineRule="auto"/>
        <w:rPr>
          <w:rFonts w:ascii="Poppins" w:cs="Poppins" w:eastAsia="Poppins" w:hAnsi="Poppins"/>
          <w:color w:val="b7c3a1"/>
        </w:rPr>
      </w:pPr>
      <w:bookmarkStart w:colFirst="0" w:colLast="0" w:name="_heading=h.92tjnv8ep3jt" w:id="18"/>
      <w:bookmarkEnd w:id="18"/>
      <w:r w:rsidDel="00000000" w:rsidR="00000000" w:rsidRPr="00000000">
        <w:rPr>
          <w:rFonts w:ascii="Poppins" w:cs="Poppins" w:eastAsia="Poppins" w:hAnsi="Poppins"/>
          <w:color w:val="b7c3a1"/>
          <w:rtl w:val="0"/>
        </w:rPr>
        <w:t xml:space="preserve">3.2 Țările partenere europene</w:t>
      </w:r>
    </w:p>
    <w:p w:rsidR="00000000" w:rsidDel="00000000" w:rsidP="00000000" w:rsidRDefault="00000000" w:rsidRPr="00000000" w14:paraId="000000EB">
      <w:pPr>
        <w:pStyle w:val="Heading3"/>
        <w:keepNext w:val="1"/>
        <w:spacing w:after="60" w:before="200" w:lineRule="auto"/>
        <w:rPr>
          <w:rFonts w:ascii="Poppins" w:cs="Poppins" w:eastAsia="Poppins" w:hAnsi="Poppins"/>
          <w:color w:val="2f6b3a"/>
        </w:rPr>
      </w:pPr>
      <w:bookmarkStart w:colFirst="0" w:colLast="0" w:name="_heading=h.650az1xsn5rj" w:id="19"/>
      <w:bookmarkEnd w:id="19"/>
      <w:r w:rsidDel="00000000" w:rsidR="00000000" w:rsidRPr="00000000">
        <w:rPr>
          <w:rFonts w:ascii="Poppins" w:cs="Poppins" w:eastAsia="Poppins" w:hAnsi="Poppins"/>
          <w:color w:val="2f6b3a"/>
          <w:rtl w:val="0"/>
        </w:rPr>
        <w:t xml:space="preserve">3.2.1 Grecia</w:t>
      </w:r>
    </w:p>
    <w:p w:rsidR="00000000" w:rsidDel="00000000" w:rsidP="00000000" w:rsidRDefault="00000000" w:rsidRPr="00000000" w14:paraId="000000EC">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Cartografierea instrumentelor și peisajul politicilor publice</w:t>
      </w:r>
    </w:p>
    <w:p w:rsidR="00000000" w:rsidDel="00000000" w:rsidP="00000000" w:rsidRDefault="00000000" w:rsidRPr="00000000" w14:paraId="000000ED">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Raportul Greciei aferent Sarcinii 2.2 cartografiază instrumentele de participare în patru categorii, cu o profunzime analitică adecvată rolului său de țară de referință în clusterul european. Mecanismele instituționale, inclusiv Consiliile Municipale ale Tinerilor, Consiliul Național Elen al Tineretului și Programul Parlamentului Grec pentru Tineret, oferă arhitectura formală de guvernanță pentru participarea tinerilor la nivel municipal, național și legislativ. Strategiile naționale de politici publice, inclusiv Strategia Națională de Capacitare a Tinerilor „Youth 17-27” și Planul Strategic pentru Educație și Formare Profesională 2022-2024, oferă cadrul de politici publice în care funcționează mecanismele instituționale. Cadrele europene, inclusiv Strategia UE pentru tineret și procesul Dialogului UE cu Tinerii, oferă baza normativă și instrumentele de cofinanțare care susțin o mare parte din programarea participării tinerilor în Grecia. Mecanismele de consultare publică la nivel național, inclusiv platforma deschisă de consultare și audierile parlamentare, oferă canale formale suplimentare pe care grupurile de tineri organizate le pot accesa.</w:t>
      </w:r>
    </w:p>
    <w:p w:rsidR="00000000" w:rsidDel="00000000" w:rsidP="00000000" w:rsidRDefault="00000000" w:rsidRPr="00000000" w14:paraId="000000EE">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Analiza lacunelor de implementare</w:t>
      </w:r>
    </w:p>
    <w:p w:rsidR="00000000" w:rsidDel="00000000" w:rsidP="00000000" w:rsidRDefault="00000000" w:rsidRPr="00000000" w14:paraId="000000EF">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Analiza identifică un tipar consecvent între oferta instituțională formală și implementarea practică, care reflectă distincția de jure versus de facto centrală acestei sinteze. Consiliile Municipale ale Tinerilor există ca instrument juridic și funcționează eficient într-un număr de municipalități, dar înființarea lor nu este obligatorie, iar funcționarea lor variază enorm în întreaga țară. Municipalitățile rurale, confruntate cu constrângeri mai mari de resurse și cu o densitate mai redusă a societății civile, au o probabilitate semnificativ mai mică de a fi înființat un consiliu al tinerilor funcțional și o probabilitate semnificativ mai mică de a-l integra în procesele decizionale municipale într-un mod semnificativ. Dependența de finanțarea UE pe bază de proiecte creează un tipar ciclic de implicare care subminează continuitatea necesară pentru construirea unei instituții participative autentice: consiliile tinerilor și programele de participare sunt dinamizate în perioadele de proiect și se contractă atunci când finanțarea se încheie. Acest tipar, documentat pe larg în contextul Greciei, reprezintă un avertisment direct pentru proiectarea RYP în Africa Subsahariană cu privire la riscurile unei infrastructuri de participare dependente de proiecte.</w:t>
      </w:r>
    </w:p>
    <w:p w:rsidR="00000000" w:rsidDel="00000000" w:rsidP="00000000" w:rsidRDefault="00000000" w:rsidRPr="00000000" w14:paraId="000000F0">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Transferabilitate: lecții din modelul Larissa</w:t>
      </w:r>
    </w:p>
    <w:p w:rsidR="00000000" w:rsidDel="00000000" w:rsidP="00000000" w:rsidRDefault="00000000" w:rsidRPr="00000000" w14:paraId="000000F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Consiliul Municipal al Tinerilor din Larissa reprezintă cea mai bine documentată bună practică din raportul Greciei și oferă cele mai direct aplicabile lecții de proiectare pentru dimensiunea instituțională a dezvoltării RYP. Eficacitatea sa se sprijină pe trei caracteristici: organizează întâlniri regulate cu grupuri tematice de lucru definite, care creează implicare susținută în domenii specifice de politici publice, mai degrabă decât consultare generică a tinerilor; a dezvoltat relații de lucru cu departamente municipale specifice, care oferă rezultatelor sale o cale administrativă definită; iar componența sa este suficient de mare pentru a reprezenta perspective diverse ale tinerilor, dar suficient de redusă pentru a delibera eficient. Aceste trei caracteristici — focus tematic, cale instituțională și scară adecvată — constituie un model de proiectare aplicabil contextului RYP din Africa Subsahariană, cu adaptarea corespunzătoare la structurile de guvernanță și normele culturale.</w:t>
      </w:r>
    </w:p>
    <w:p w:rsidR="00000000" w:rsidDel="00000000" w:rsidP="00000000" w:rsidRDefault="00000000" w:rsidRPr="00000000" w14:paraId="000000F2">
      <w:pPr>
        <w:pStyle w:val="Heading3"/>
        <w:keepNext w:val="1"/>
        <w:spacing w:after="60" w:before="200" w:lineRule="auto"/>
        <w:rPr>
          <w:rFonts w:ascii="Poppins" w:cs="Poppins" w:eastAsia="Poppins" w:hAnsi="Poppins"/>
          <w:color w:val="2f6b3a"/>
        </w:rPr>
      </w:pPr>
      <w:bookmarkStart w:colFirst="0" w:colLast="0" w:name="_heading=h.9ovx0s5k3ljw" w:id="20"/>
      <w:bookmarkEnd w:id="20"/>
      <w:r w:rsidDel="00000000" w:rsidR="00000000" w:rsidRPr="00000000">
        <w:rPr>
          <w:rFonts w:ascii="Poppins" w:cs="Poppins" w:eastAsia="Poppins" w:hAnsi="Poppins"/>
          <w:color w:val="2f6b3a"/>
          <w:rtl w:val="0"/>
        </w:rPr>
        <w:t xml:space="preserve">3.2.2 Italia</w:t>
      </w:r>
    </w:p>
    <w:p w:rsidR="00000000" w:rsidDel="00000000" w:rsidP="00000000" w:rsidRDefault="00000000" w:rsidRPr="00000000" w14:paraId="000000F3">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Cartografierea instrumentelor la niveluri de guvernanță</w:t>
      </w:r>
    </w:p>
    <w:p w:rsidR="00000000" w:rsidDel="00000000" w:rsidP="00000000" w:rsidRDefault="00000000" w:rsidRPr="00000000" w14:paraId="000000F4">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Raportul Italiei aferent Sarcinii 2.2 oferă cea mai amplă cartografiere pe mai multe niveluri a instrumentelor din clusterul european, documentând instrumentele de participare la nivel național, regional, local și non-formal, cu atenție asupra relațiilor instituționale și fluxurilor de resurse care le conectează. La nivel național, Consiglio Nazionale dei Giovani și Strategia Națională pentru Tineret oferă cadrul. La nivel regional, Consiliile Regionale ale Tinerilor și forumurile de tineret oferă un nivel intermediar mai accesibil decât structurile naționale, dar totuși concentrat semnificativ în capitalele regionale. La nivel local, Consiliile Municipale ale Tinerilor și forumurile participative oferă cele mai apropiate structuri formale, deși implementarea lor în municipalitățile rurale și din zonele interne este, așa cum s-a documentat în analiza Sarcinii 2.1, foarte inegală. La nivel non-formal, organizațiile de tineret, laboratoarele comunitare, Grupurile Locale de Sprijin YEPP și Activitățile de Participare a Tinerilor Erasmus+ oferă cea mai accesibilă și mai de încredere infrastructură de participare pentru tinerii din mediul rural care nu sunt conectați la rețele instituționale formale.</w:t>
      </w:r>
    </w:p>
    <w:p w:rsidR="00000000" w:rsidDel="00000000" w:rsidP="00000000" w:rsidRDefault="00000000" w:rsidRPr="00000000" w14:paraId="000000F5">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Concluziile focus-grupurilor: acces, excludere și încredere</w:t>
      </w:r>
    </w:p>
    <w:p w:rsidR="00000000" w:rsidDel="00000000" w:rsidP="00000000" w:rsidRDefault="00000000" w:rsidRPr="00000000" w14:paraId="000000F6">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Focus-grupurile realizate cu tineri și lucrători de tineret în contextul italian relevă trei concluzii interconectate cu relevanță directă pentru procesul de proiectare EMPOWER+. În primul rând, accesul la participarea formală este adesea mediat de apartenența organizațională sau de conexiunile personale, creând o excludere structurală a tinerilor rurali neafiliați, care nu dispun de capitalul social necesar pentru a naviga punctele formale de acces instituțional. Această constatare reflectă dependența de afiliere documentată în contextul Mauritiusului și indică un principiu transversal de proiectare: căile de acces în RYP trebuie să fie cu adevărat deschise și promovate activ, nu dependente de rețele organizaționale existente. În al doilea rând, instrumentele non-formale și cele bazate pe proiecte sunt percepute în mod constant ca fiind mai accesibile și mai receptive decât mecanismele formale, reflectând capacitatea abordărilor conduse de societatea civilă de a se adapta la realitățile comunitare în moduri în care structurile guvernamentale formale nu pot. În al treilea rând, procesele slabe de responsabilizare și absența unei puteri decizionale semnificative sunt identificate ca principalii factori care reduc încrederea în structurile formale de participare și implicarea susținută în acestea, tinerii descriind un tipar în care sunt consultați în mod repetat fără a putea indica vreun rezultat generat de implicarea lor.</w:t>
      </w:r>
    </w:p>
    <w:p w:rsidR="00000000" w:rsidDel="00000000" w:rsidP="00000000" w:rsidRDefault="00000000" w:rsidRPr="00000000" w14:paraId="000000F7">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Implicații pentru proiectarea EMPOWER+</w:t>
      </w:r>
    </w:p>
    <w:p w:rsidR="00000000" w:rsidDel="00000000" w:rsidP="00000000" w:rsidRDefault="00000000" w:rsidRPr="00000000" w14:paraId="000000F8">
      <w:pPr>
        <w:pStyle w:val="Heading3"/>
        <w:keepNext w:val="1"/>
        <w:spacing w:after="60" w:before="200" w:lineRule="auto"/>
        <w:jc w:val="both"/>
        <w:rPr>
          <w:rFonts w:ascii="Poppins" w:cs="Poppins" w:eastAsia="Poppins" w:hAnsi="Poppins"/>
          <w:b w:val="0"/>
          <w:bCs w:val="0"/>
          <w:color w:val="1a1a1a"/>
          <w:sz w:val="22"/>
          <w:szCs w:val="22"/>
        </w:rPr>
      </w:pPr>
      <w:bookmarkStart w:colFirst="0" w:colLast="0" w:name="_heading=h.b87202qlffys" w:id="21"/>
      <w:bookmarkEnd w:id="21"/>
      <w:r w:rsidDel="00000000" w:rsidR="00000000" w:rsidRPr="00000000">
        <w:rPr>
          <w:rFonts w:ascii="Poppins" w:cs="Poppins" w:eastAsia="Poppins" w:hAnsi="Poppins"/>
          <w:b w:val="0"/>
          <w:bCs w:val="0"/>
          <w:color w:val="1a1a1a"/>
          <w:sz w:val="22"/>
          <w:szCs w:val="22"/>
          <w:rtl w:val="0"/>
        </w:rPr>
        <w:t xml:space="preserve">Dovezile din Italia generează două implicații specifice de proiectare. În primul rând, modelul Grupului Local de Sprijin YEPP ar trebui adaptat ca infrastructură non-formală principală care sprijină fiecare RYP din Africa Subsahariană, oferind funcțiile relaționale și de furnizare a resurselor care fac deliberarea parlamentară formală accesibilă celor mai marginalizați tineri din mediul rural. În al doilea rând, experiența documentată a oboselii față de consultare în rândul tinerilor italieni consolidează recomandarea ca fiecare activitate RYP să producă un rezultat vizibil și comunicat în cadrul ciclului în care are loc, construind baza de dovezi care demonstrează participanților că implicarea produce rezultate cu consecințe reale.</w:t>
      </w:r>
    </w:p>
    <w:p w:rsidR="00000000" w:rsidDel="00000000" w:rsidP="00000000" w:rsidRDefault="00000000" w:rsidRPr="00000000" w14:paraId="000000F9">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3.2.3 România</w:t>
      </w:r>
    </w:p>
    <w:p w:rsidR="00000000" w:rsidDel="00000000" w:rsidP="00000000" w:rsidRDefault="00000000" w:rsidRPr="00000000" w14:paraId="000000FA">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Cartografierea guvernanței pe mai multe niveluri</w:t>
      </w:r>
    </w:p>
    <w:p w:rsidR="00000000" w:rsidDel="00000000" w:rsidP="00000000" w:rsidRDefault="00000000" w:rsidRPr="00000000" w14:paraId="000000FB">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Raportul României aferent Sarcinii 2.2 oferă cea mai detaliată cartografiere analitică a guvernanței din clusterul european și cele mai direct acționabile dovezi pentru proiectarea RYP EMPOWER+. Cartografierea documentează instrumente la trei niveluri de guvernanță. La nivel local, Legea 52/2003 privind transparența decizională și consultarea publică oferă baza juridică pentru implicarea tinerilor în luarea deciziilor locale, în timp ce Legea tinerilor 350/2006 stabilește cadrul normativ pentru drepturile de participare ale tinerilor. Structura de guvernanță LEADER prin GAL oferă un mecanism participativ de dezvoltare rurală care a fost adaptat pentru a sprijini modelul RYP în teritoriul GAL Napoca Porolissum, iar RYP însuși este documentat ca fiind cea mai semnificativă inovație participativă la acest nivel. La nivel județean, finanțarea pentru tineret a Consiliului Județean Cluj oferă un mecanism de finanțare publică, în timp ce federația ONG Federația Tinerilor din Cluj oferă capacitate de mediere a societății civile, conectând grupurile de tineri la procesele de guvernanță județeană. La nivel național, Strategia Națională pentru Tineret 2024-2027 oferă cadrul de politici publice, în timp ce platformele digitale de consultare E-Consultare și CONECT.GOV.RO oferă canale formale pentru contribuția tinerilor la politicile publice.</w:t>
      </w:r>
    </w:p>
    <w:p w:rsidR="00000000" w:rsidDel="00000000" w:rsidP="00000000" w:rsidRDefault="00000000" w:rsidRPr="00000000" w14:paraId="000000FC">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RYP ca infrastructură de participare: dovezi ale eficacității</w:t>
      </w:r>
    </w:p>
    <w:p w:rsidR="00000000" w:rsidDel="00000000" w:rsidP="00000000" w:rsidRDefault="00000000" w:rsidRPr="00000000" w14:paraId="000000FD">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Analiza Sarcinii 2.2 documentează modelul RYP bazat pe GAL ca „infrastructură de participare” într-un sens teoretic precis: nu este un eveniment punctual sau o activitate limitată la perioada proiectului, ci un sistem structurat care dezvoltă competențe de deliberare, agregă nevoile comunitare peste granițe administrative și creează un dialog mediat susținut între tinerii din mediul rural și factorii de decizie locali. Dovezile privind eficacitatea includ acțiuni comunitare documentate rezultate din deliberările RYP, inclusiv campanii de mediu cu rate măsurabile de participare comunitară, evenimente culturale care au creat noi forumuri de dialog intergenerațional și propuneri de proiecte locale care au fost integrate în strategia teritorială a GAL. Ghidul de facilitare dezvoltat prin testare iterativă de-a lungul mai multor cicluri de implementare este cea mai utilă resursă practică pe care clusterul european o contribuie la proiectarea EMPOWER+ în Africa Subsahariană, codificând învățarea metodologică din ani de practică într-un format direct adaptabil pentru diferite contexte culturale și de guvernanță.</w:t>
      </w:r>
    </w:p>
    <w:p w:rsidR="00000000" w:rsidDel="00000000" w:rsidP="00000000" w:rsidRDefault="00000000" w:rsidRPr="00000000" w14:paraId="000000FE">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Lacune și provocări de sustenabilitate</w:t>
      </w:r>
    </w:p>
    <w:p w:rsidR="00000000" w:rsidDel="00000000" w:rsidP="00000000" w:rsidRDefault="00000000" w:rsidRPr="00000000" w14:paraId="000000FF">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Analiza Sarcinii 2.2 identifică trei lacune cu implicații directe pentru adaptarea în Africa Subsahariană. Capacitatea de mediere rurală rămâne limitată în cele mai dispersate și îndepărtate comune ale teritoriului GAL, unde absența facilitatorilor locali formați creează o barieră persistentă în calea ajungerii la tinerii care sunt cei mai îndepărtați de centrul administrativ al GAL. Barierele geografice și de transport care caracterizează teritoriul montan necesită prevederi explicite de resurse, inclusiv sprijin pentru transportul delegaților RYP, care trebuie integrate în bugetul operațional, nu tratate ca costuri excepționale. Tranziția instituțională în urma înființării Direcțiilor Județene pentru Familie și Tineret prin Hotărârea Guvernului 197/2022 a creat o anumită incertitudine în peisajul instituțional județean, care afectează capacitatea RYP de a conecta rezultatele sale la procesele de guvernanță județeană. Aceste lacune și strategiile dezvoltate în cadrul parteneriatului românesc pentru a le aborda sunt direct transferabile ca lecții de proiectare pentru implementarea RYP în Africa Subsahariană, unde provocări analoage de dispersie geografică, constrângeri de resurse și instabilitate instituțională vor fi întâlnite în forme mai acute.</w:t>
      </w:r>
      <w:r w:rsidDel="00000000" w:rsidR="00000000" w:rsidRPr="00000000">
        <w:rPr>
          <w:rtl w:val="0"/>
        </w:rPr>
      </w:r>
    </w:p>
    <w:p w:rsidR="00000000" w:rsidDel="00000000" w:rsidP="00000000" w:rsidRDefault="00000000" w:rsidRPr="00000000" w14:paraId="00000100">
      <w:pPr>
        <w:rPr>
          <w:rFonts w:ascii="Poppins" w:cs="Poppins" w:eastAsia="Poppins" w:hAnsi="Poppins"/>
        </w:rPr>
      </w:pPr>
      <w:r w:rsidDel="00000000" w:rsidR="00000000" w:rsidRPr="00000000">
        <w:br w:type="page"/>
      </w:r>
      <w:r w:rsidDel="00000000" w:rsidR="00000000" w:rsidRPr="00000000">
        <w:rPr>
          <w:rtl w:val="0"/>
        </w:rPr>
      </w:r>
    </w:p>
    <w:p w:rsidR="00000000" w:rsidDel="00000000" w:rsidP="00000000" w:rsidRDefault="00000000" w:rsidRPr="00000000" w14:paraId="00000101">
      <w:pPr>
        <w:pStyle w:val="Heading1"/>
        <w:keepNext w:val="1"/>
        <w:spacing w:after="120" w:before="360" w:lineRule="auto"/>
        <w:rPr>
          <w:rFonts w:ascii="Poppins" w:cs="Poppins" w:eastAsia="Poppins" w:hAnsi="Poppins"/>
          <w:color w:val="2f6b3a"/>
        </w:rPr>
      </w:pPr>
      <w:bookmarkStart w:colFirst="0" w:colLast="0" w:name="_heading=h.ssl5u6v42nej" w:id="22"/>
      <w:bookmarkEnd w:id="22"/>
      <w:r w:rsidDel="00000000" w:rsidR="00000000" w:rsidRPr="00000000">
        <w:rPr>
          <w:rFonts w:ascii="Poppins" w:cs="Poppins" w:eastAsia="Poppins" w:hAnsi="Poppins"/>
          <w:color w:val="2f6b3a"/>
          <w:rtl w:val="0"/>
        </w:rPr>
        <w:t xml:space="preserve">4. Analiză comparativă: tipare transnaționale și perspective transferabile</w:t>
      </w:r>
    </w:p>
    <w:p w:rsidR="00000000" w:rsidDel="00000000" w:rsidP="00000000" w:rsidRDefault="00000000" w:rsidRPr="00000000" w14:paraId="00000102">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Această secțiune prezintă analiza comparativă la trei niveluri: o comparație între cele șapte țări pe cele patru dimensiuni analitice; o analiză în interiorul grupului țărilor partenere din Africa Subsahariană; și o analiză în interiorul grupului țărilor partenere europene, încheind cu o sinteză a perspectivelor pentru transferul de cunoștințe din Europa către Africa Subsahariană.</w:t>
      </w:r>
    </w:p>
    <w:p w:rsidR="00000000" w:rsidDel="00000000" w:rsidP="00000000" w:rsidRDefault="00000000" w:rsidRPr="00000000" w14:paraId="00000103">
      <w:pPr>
        <w:pStyle w:val="Heading2"/>
        <w:keepNext w:val="1"/>
        <w:spacing w:after="80" w:before="280" w:lineRule="auto"/>
        <w:rPr>
          <w:rFonts w:ascii="Poppins" w:cs="Poppins" w:eastAsia="Poppins" w:hAnsi="Poppins"/>
          <w:color w:val="b7c3a1"/>
        </w:rPr>
      </w:pPr>
      <w:bookmarkStart w:colFirst="0" w:colLast="0" w:name="_heading=h.w36g6xpa0aar" w:id="23"/>
      <w:bookmarkEnd w:id="23"/>
      <w:r w:rsidDel="00000000" w:rsidR="00000000" w:rsidRPr="00000000">
        <w:rPr>
          <w:rFonts w:ascii="Poppins" w:cs="Poppins" w:eastAsia="Poppins" w:hAnsi="Poppins"/>
          <w:color w:val="b7c3a1"/>
          <w:rtl w:val="0"/>
        </w:rPr>
        <w:t xml:space="preserve">4.1 Comparație transnațională</w:t>
      </w:r>
    </w:p>
    <w:p w:rsidR="00000000" w:rsidDel="00000000" w:rsidP="00000000" w:rsidRDefault="00000000" w:rsidRPr="00000000" w14:paraId="00000104">
      <w:pPr>
        <w:pStyle w:val="Heading3"/>
        <w:keepNext w:val="1"/>
        <w:spacing w:after="60" w:before="200" w:lineRule="auto"/>
        <w:rPr>
          <w:rFonts w:ascii="Poppins" w:cs="Poppins" w:eastAsia="Poppins" w:hAnsi="Poppins"/>
          <w:color w:val="2f6b3a"/>
        </w:rPr>
      </w:pPr>
      <w:bookmarkStart w:colFirst="0" w:colLast="0" w:name="_heading=h.548dexkb62cc" w:id="24"/>
      <w:bookmarkEnd w:id="24"/>
      <w:r w:rsidDel="00000000" w:rsidR="00000000" w:rsidRPr="00000000">
        <w:rPr>
          <w:rFonts w:ascii="Poppins" w:cs="Poppins" w:eastAsia="Poppins" w:hAnsi="Poppins"/>
          <w:color w:val="2f6b3a"/>
          <w:rtl w:val="0"/>
        </w:rPr>
        <w:t xml:space="preserve">4.1.1 Disponibilitatea și accesibilitatea resurselor</w:t>
      </w:r>
    </w:p>
    <w:p w:rsidR="00000000" w:rsidDel="00000000" w:rsidP="00000000" w:rsidRDefault="00000000" w:rsidRPr="00000000" w14:paraId="00000105">
      <w:pPr>
        <w:pStyle w:val="Heading3"/>
        <w:keepNext w:val="1"/>
        <w:spacing w:after="60" w:before="200" w:lineRule="auto"/>
        <w:jc w:val="both"/>
        <w:rPr>
          <w:rFonts w:ascii="Poppins" w:cs="Poppins" w:eastAsia="Poppins" w:hAnsi="Poppins"/>
          <w:b w:val="0"/>
          <w:bCs w:val="0"/>
          <w:color w:val="1a1a1a"/>
          <w:sz w:val="22"/>
          <w:szCs w:val="22"/>
        </w:rPr>
      </w:pPr>
      <w:bookmarkStart w:colFirst="0" w:colLast="0" w:name="_heading=h.jiatvy2asw4z" w:id="25"/>
      <w:bookmarkEnd w:id="25"/>
      <w:r w:rsidDel="00000000" w:rsidR="00000000" w:rsidRPr="00000000">
        <w:rPr>
          <w:rFonts w:ascii="Poppins" w:cs="Poppins" w:eastAsia="Poppins" w:hAnsi="Poppins"/>
          <w:b w:val="0"/>
          <w:bCs w:val="0"/>
          <w:color w:val="1a1a1a"/>
          <w:sz w:val="22"/>
          <w:szCs w:val="22"/>
          <w:rtl w:val="0"/>
        </w:rPr>
        <w:t xml:space="preserve">Un tipar constant se conturează în toate cele șapte țări: cele mai accesibile resurse de participare pentru tinerii din mediul rural sunt cele bazate pe comunitate, nu cele create de stat. Kgotla în Botswana, asociațiile pe grupe de vârstă în Nigeria, grupurile de cercetași în Madagascar, rețelele YUVA în Mauritius, Grupurile Locale de Sprijin YEPP în Italia, RYP bazat pe GAL în România și inițiativele comunitare din Grecia sunt instrumentele pe care tinerii din mediul rural le folosesc și în care au încredere în mod real. Această convergență transnațională are o implicație directă de proiectare: Parlamentele Tinerilor Rurali eficiente trebuie să se bazeze pe încrederea și legitimitatea structurilor comunitare existente, nu să fie suprapuse peste acestea ca instituții formale proiectate extern.</w:t>
      </w:r>
    </w:p>
    <w:p w:rsidR="00000000" w:rsidDel="00000000" w:rsidP="00000000" w:rsidRDefault="00000000" w:rsidRPr="00000000" w14:paraId="00000106">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4.1.2 Cadre juridice și de politici publice: permisive fără a fi prescriptive</w:t>
      </w:r>
    </w:p>
    <w:p w:rsidR="00000000" w:rsidDel="00000000" w:rsidP="00000000" w:rsidRDefault="00000000" w:rsidRPr="00000000" w14:paraId="00000107">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Toate cele șapte țări funcționează în cadre care recunosc formal drepturile de participare ale tinerilor. Caracteristica definitorie comună tuturor este că acestea sunt permisive, nu prescriptive: deschid spații pentru participarea tinerilor fără a le mandata, finanța sau aplica. Acest design creează discreție în implementare, care dezavantajează sistematic tinerii din mediul rural, aflați cel mai departe de centrele politice și administrative și având cele mai puține resurse pentru a pleda pentru propria incluziune. Strategia Națională pentru Tineret 2024-2027 a României reprezintă cel mai puternic accent rural din consorțiu; majoritatea celorlalte cadre fac puține sau nicio referire specifică la tinerii din mediul rural ca populație distinctă cu nevoi structurale specifice.</w:t>
      </w:r>
    </w:p>
    <w:p w:rsidR="00000000" w:rsidDel="00000000" w:rsidP="00000000" w:rsidRDefault="00000000" w:rsidRPr="00000000" w14:paraId="00000108">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09">
      <w:pPr>
        <w:pStyle w:val="Heading3"/>
        <w:keepNext w:val="1"/>
        <w:spacing w:after="60" w:before="200" w:lineRule="auto"/>
        <w:rPr>
          <w:rFonts w:ascii="Poppins" w:cs="Poppins" w:eastAsia="Poppins" w:hAnsi="Poppins"/>
          <w:color w:val="2f6b3a"/>
        </w:rPr>
      </w:pPr>
      <w:bookmarkStart w:colFirst="0" w:colLast="0" w:name="_heading=h.cz9o9eo6kssm" w:id="26"/>
      <w:bookmarkEnd w:id="26"/>
      <w:r w:rsidDel="00000000" w:rsidR="00000000" w:rsidRPr="00000000">
        <w:rPr>
          <w:rFonts w:ascii="Poppins" w:cs="Poppins" w:eastAsia="Poppins" w:hAnsi="Poppins"/>
          <w:color w:val="2f6b3a"/>
          <w:rtl w:val="0"/>
        </w:rPr>
        <w:t xml:space="preserve">4.1.3 Lacune universale: prezente în toate cele șapte țări</w:t>
      </w:r>
    </w:p>
    <w:p w:rsidR="00000000" w:rsidDel="00000000" w:rsidP="00000000" w:rsidRDefault="00000000" w:rsidRPr="00000000" w14:paraId="0000010A">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Analiza transnațională a lacunelor relevă un set de provocări universale în toate cele șapte țări partenere. Participarea este consultativă, nu influentă asupra deciziei. Buclele de feedback între contribuția tinerilor și răspunsul instituțional sunt slabe sau absente. Diviziunile de participare rural-urban dezavantajează sistematic tinerii din mediul rural. Participarea tinerilor este cronic subfinanțată în raport cu angajamentele declarate de politici publice. Implicarea este episodică și bazată pe proiecte, nu susținută. Normele intergeneraționale marginalizează vocea tinerilor, iar excluderea de gen a tinerelor femei accentuează această situație. Decalajele digitale limitează raza de acțiune a instrumentelor digitale în zonele rurale. Nu există în nicio țară parteneră structuri obligatorii de guvernanță a tinerilor rurali cu finanțare publică dedicată. Asumarea de către tineri a proceselor de politici publice care le afectează viața rămâne limitată peste tot.</w:t>
      </w:r>
    </w:p>
    <w:p w:rsidR="00000000" w:rsidDel="00000000" w:rsidP="00000000" w:rsidRDefault="00000000" w:rsidRPr="00000000" w14:paraId="0000010B">
      <w:pPr>
        <w:spacing w:after="100" w:before="60" w:lineRule="auto"/>
        <w:jc w:val="both"/>
        <w:rPr>
          <w:rFonts w:ascii="Poppins" w:cs="Poppins" w:eastAsia="Poppins" w:hAnsi="Poppins"/>
        </w:rPr>
      </w:pPr>
      <w:r w:rsidDel="00000000" w:rsidR="00000000" w:rsidRPr="00000000">
        <w:rPr>
          <w:rFonts w:ascii="Poppins" w:cs="Poppins" w:eastAsia="Poppins" w:hAnsi="Poppins"/>
          <w:rtl w:val="0"/>
        </w:rPr>
        <w:t xml:space="preserve">Universalitatea acestor lacune în țările partenere din Africa Subsahariană și Europa, în condiții diferite de venit, tradiții democratice și arhitecturi instituționale, reprezintă în sine o constatare analitică importantă. Ea demonstrează că excluderea tinerilor din mediul rural de la o participare semnificativă nu este o patologie a subdezvoltării, ci o trăsătură structurală a sistemelor de guvernanță care nu au fost concepute pentru a include tinerii din mediul rural.</w:t>
      </w:r>
    </w:p>
    <w:p w:rsidR="00000000" w:rsidDel="00000000" w:rsidP="00000000" w:rsidRDefault="00000000" w:rsidRPr="00000000" w14:paraId="0000010C">
      <w:pPr>
        <w:pStyle w:val="Heading2"/>
        <w:keepNext w:val="1"/>
        <w:spacing w:after="80" w:before="280" w:lineRule="auto"/>
        <w:rPr>
          <w:rFonts w:ascii="Poppins" w:cs="Poppins" w:eastAsia="Poppins" w:hAnsi="Poppins"/>
          <w:color w:val="b7c3a1"/>
        </w:rPr>
      </w:pPr>
      <w:bookmarkStart w:colFirst="0" w:colLast="0" w:name="_heading=h.9r9p0ijamzgo" w:id="27"/>
      <w:bookmarkEnd w:id="27"/>
      <w:r w:rsidDel="00000000" w:rsidR="00000000" w:rsidRPr="00000000">
        <w:rPr>
          <w:rFonts w:ascii="Poppins" w:cs="Poppins" w:eastAsia="Poppins" w:hAnsi="Poppins"/>
          <w:color w:val="b7c3a1"/>
          <w:rtl w:val="0"/>
        </w:rPr>
        <w:t xml:space="preserve">4.2 Africa Subsahariană: analiza în interiorul grupului</w:t>
      </w:r>
    </w:p>
    <w:p w:rsidR="00000000" w:rsidDel="00000000" w:rsidP="00000000" w:rsidRDefault="00000000" w:rsidRPr="00000000" w14:paraId="0000010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Nealinierea structurală din centrul excluderii tinerilor rurali din Africa Subsahariană</w:t>
      </w:r>
    </w:p>
    <w:p w:rsidR="00000000" w:rsidDel="00000000" w:rsidP="00000000" w:rsidRDefault="00000000" w:rsidRPr="00000000" w14:paraId="0000010E">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Cele patru țări partenere din Africa Subsahariană împărtășesc o provocare structurală generală care depășește diferențele lor considerabile de dimensiune, nivel de venit, arhitectură de guvernanță și context cultural: nealinierea dintre comunitățile în care trăiesc tinerii din mediul rural și instituțiile care dețin autoritate formală și resurse. Structurile formale de participare sunt concepute la nivel național sau statal, sunt personalizate din centre administrative și sunt finanțate prin cicluri bugetare care răspund priorităților politice ale capitalelor. Guvernanța de zi cu zi a vieții tinerilor din mediul rural este însă modelată în principal de instituții locale și cutumiare, adunări tradiționale, asociații de vârstă, organizații de dezvoltare comunitară, organisme religioase și rețele informale, care au o legitimitate comunitară profundă, dar nu au autoritate statutară și finanțare publică predictibilă. Această nealiniere produce tiparul caracteristic documentat în toate cele patru rapoarte de țară din Africa Subsahariană: voce fără putere la nivel comunitar și putere fără proximitate la nivel instituțional formal. Depășirea acestui decalaj este provocarea centrală de proiectare pentru fiecare RYP EMPOWER+.</w:t>
      </w:r>
    </w:p>
    <w:p w:rsidR="00000000" w:rsidDel="00000000" w:rsidP="00000000" w:rsidRDefault="00000000" w:rsidRPr="00000000" w14:paraId="0000010F">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Variație la nivel de țară în cadrul structurii commune</w:t>
      </w:r>
    </w:p>
    <w:p w:rsidR="00000000" w:rsidDel="00000000" w:rsidP="00000000" w:rsidRDefault="00000000" w:rsidRPr="00000000" w14:paraId="00000110">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În cadrul acestei provocări structurale comune, variația la nivel de țară între cei patru parteneri din Africa Subsahariană este semnificativă din punct de vedere analitic și are implicații directe pentru prioritățile de proiectare RYP. Mauritius se află la un capăt al spectrului: are cel mai dezvoltat ecosistem instituțional, cea mai mare densitate de structuri formale accesibile, inclusiv Consilii Regionale ale Tinerilor în fiecare district, și cea mai redusă lacună de implementare în raport cu angajamentele cadrului său de politici publice. Principala provocare de proiectare în Mauritius nu este construirea de instituții, ci reforma structurilor existente pentru a elimina dependența de afiliere care exclude tinerii independenți din mediul rural și pentru a conecta agendele de participare mai direct la problemele mijloacelor de trai rurale. Nigeria se află la extrema opusă în ceea ce privește complexitatea instituțională: are de departe cea mai amplă arhitectură formală de participare din consorțiu, dar și cea mai severă lacună de implementare, cea mai acută criză de finanțare și cea mai pronunțată fragmentare între structurile formale și realitățile comunitare rurale. Principala provocare de proiectare în Nigeria nu este crearea de structuri noi, ci legitimarea, finanțarea și conectarea structurilor comunitare existente la autoritatea formală de guvernanță. Botswana ocupă o poziție intermediară interesantă din punct de vedere analitic, sistemul Kgotla oferind un spațiu deliberativ unic și legitim cultural, fără echivalent în celelalte țări partenere, dar confruntându-se cu bariere semnificative privind responsabilizarea prin feedback, schimbarea normelor intergeneraționale și egalitatea digitală. Principala provocare de proiectare în Botswana este transformarea Kgotla dintr-un spațiu de consultare unidirecțional într-un forum real de responsabilizare. Madagascar prezintă cele mai acute vulnerabilități structurale dintre cele patru: cea mai limitată infrastructură instituțională, cele mai severe bariere economice în calea participării și cea mai slabă capacitate de implementare a statului. Totuși, are și cea mai puternică energie civică documentată la nivel local, cele mai vibrante tradiții asociative în andrimasompokonolona, mișcările de cercetași și organizațiile religioase de tineret, precum și cel mai unanim mandat pentru dezvoltarea RYP dintre toate țările consorțiului. Principala provocare de proiectare în Madagascar nu este generarea motivației tinerilor, ci crearea condițiilor economice, informaționale și instituționale care permit acestei motivații să se transforme în implicare civică susținută.</w:t>
      </w:r>
    </w:p>
    <w:p w:rsidR="00000000" w:rsidDel="00000000" w:rsidP="00000000" w:rsidRDefault="00000000" w:rsidRPr="00000000" w14:paraId="00000111">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Priorități comune de proiectare pentru Africa Subsahariană</w:t>
      </w:r>
    </w:p>
    <w:p w:rsidR="00000000" w:rsidDel="00000000" w:rsidP="00000000" w:rsidRDefault="00000000" w:rsidRPr="00000000" w14:paraId="00000112">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În toate cele patru contexte din Africa Subsahariană, cinci priorități de proiectare reies consecvent din analiza în interiorul grupului. În primul rând, RYPs trebuie ancorate la nivelul guvernanței locale, unde legitimitatea comunitară și autoritatea instituțională pot fi combinate cel mai ușor: districtul în Botswana, LGA în Nigeria, teritoriul consiliului regional în Mauritius, comuna în Madagascar. În al doilea rând, structurile de autoritate tradițională și comunitară trebuie implicate ca parteneri formali în guvernanța RYP de la început, nu ca susținători externi abordați după finalizarea proiectării. În al treilea rând, barierele economice în calea participării trebuie abordate prin prevederi de resurse explicite și bugetate, inclusiv indemnizații de transport, sprijin pentru diurnă și credit de comunicare, recunoscând că acestea sunt condiții structurale necesare, nu facilități administrative. În al patrulea rând, mecanismele de responsabilizare prin feedback trebuie integrate în fiecare proiectare RYP ca cerințe constituționale: autoritățile care interacționează cu rezultatele RYP trebuie obligate formal să răspundă în termene definite, cu explicații publice privind ce a fost acceptat, respins și de ce. În al cincilea rând, incluziunea celor mai excluși tineri, tinere femei, tineri cu dizabilități, tineri care au abandonat școala și tineri din cele mai izolate comunități, trebuie integrată în proiectarea RYP ca set de cote aplicabile, nu ca angajamente aspiraționale, recunoscând că incluziunea voluntară are rezultate sistematic insuficiente în fiecare context documentat din Africa Subsahariană.</w:t>
      </w:r>
    </w:p>
    <w:p w:rsidR="00000000" w:rsidDel="00000000" w:rsidP="00000000" w:rsidRDefault="00000000" w:rsidRPr="00000000" w14:paraId="00000113">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zf0x5nw7gldx" w:id="28"/>
      <w:bookmarkEnd w:id="28"/>
      <w:r w:rsidDel="00000000" w:rsidR="00000000" w:rsidRPr="00000000">
        <w:rPr>
          <w:rFonts w:ascii="Poppins" w:cs="Poppins" w:eastAsia="Poppins" w:hAnsi="Poppins"/>
          <w:b w:val="0"/>
          <w:bCs w:val="0"/>
          <w:color w:val="1a1a1a"/>
          <w:sz w:val="22"/>
          <w:szCs w:val="22"/>
          <w:rtl w:val="0"/>
        </w:rPr>
        <w:t xml:space="preserve">Principiu de proiectare pentru Africa Subsahariană: Parlamentele Tinerilor Rurali din Africa Subsahariană trebuie să fie ancorate în comunitate, incluzive din punct de vedere economic, orientate spre responsabilizare și proiectate specific pentru accesibilitate rurală încă de la început. Ele nu pot fi structuri naționale adaptate în jos; trebuie să fie structuri locale conectate în sus.</w:t>
      </w:r>
    </w:p>
    <w:p w:rsidR="00000000" w:rsidDel="00000000" w:rsidP="00000000" w:rsidRDefault="00000000" w:rsidRPr="00000000" w14:paraId="00000114">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4.3 Europa: analiza în interiorul grupului</w:t>
      </w:r>
    </w:p>
    <w:p w:rsidR="00000000" w:rsidDel="00000000" w:rsidP="00000000" w:rsidRDefault="00000000" w:rsidRPr="00000000" w14:paraId="00000115">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Contribuția europeană: metodologie, experiență și lecții structural</w:t>
      </w:r>
    </w:p>
    <w:p w:rsidR="00000000" w:rsidDel="00000000" w:rsidP="00000000" w:rsidRDefault="00000000" w:rsidRPr="00000000" w14:paraId="00000116">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Cele trei țări partenere europene contribuie la EMPOWER+ în principal ca surse de metodologie transferabilă, formate participative testate și experiență de proiectare instituțională dezvoltate de-a lungul mai multor cicluri de proiect și contexte de guvernanță. Provocările lor de participare sunt structural similare cu cele din contextele Africii Subsahariene în moduri importante, chiar dacă sunt semnificativ mai puțin severe în ceea ce privește excluderea economică, fragilitatea instituțională și capacitatea de guvernanță. Toate trei funcționează în cadrul comun al Strategiei UE pentru tineret, au acces la instrumente de finanțare structurale și de program ale UE și au dezvoltat programe de participare a tinerilor pe fondul unor angajamente privind dreptul la participare susținute de cadre juridice aplicabile. Constatarea consecventă în toate cele trei țări partenere europene, potrivit căreia participarea este predominant consultativă fără a fi influentă, buclele de feedback sunt slabe sau absente, iar zonele rurale sunt sistematic insuficient deservite de structuri de participare concepute în principal pentru contexte urbane, reprezintă în sine o contribuție analitică importantă. Ea demonstrează că provocările pe care EMPOWER+ le abordează în Africa Subsahariană nu sunt patologii ale subdezvoltării sau slăbiciunii instituționale, ci trăsături structurale ale sistemelor de guvernanță care nu au fost concepute specific pentru a include tinerii din mediul rural, prezente chiar și în democrații europene bine resursate.</w:t>
      </w:r>
    </w:p>
    <w:p w:rsidR="00000000" w:rsidDel="00000000" w:rsidP="00000000" w:rsidRDefault="00000000" w:rsidRPr="00000000" w14:paraId="00000117">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România: cel mai direct relevant context</w:t>
      </w:r>
    </w:p>
    <w:p w:rsidR="00000000" w:rsidDel="00000000" w:rsidP="00000000" w:rsidRDefault="00000000" w:rsidRPr="00000000" w14:paraId="00000118">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Contextul GAL Napoca Porolissum din România este cel mai direct relevant din punct de vedere analitic dintre cele trei țări partenere europene, din motive care depășesc existența unui model RYP testat. Dispersia geografică a teritoriului în mai multe comune montane mici, conectivitatea limitată de transport, presiunea semnificativă a migrației tinerilor și rolul GAL ca structură de guvernanță mediatoare între comunitățile rurale dispersate și instituțiile publice regionale creează un set de condiții care împărtășesc trăsături structurale importante cu contextele de guvernanță rurală din Africa Subsahariană, chiar și atunci când nivelurile de venit, tradițiile democratice și mediile de finanțare UE diferă fundamental. Dovezile din România demonstrează mai multe aspecte de relevanță directă pentru Africa Subsahariană. Deliberarea structurată a tinerilor din mediul rural poate funcționa într-un teritoriu montan dispersat, cu resurse limitate și provocări geografice, dacă metodologia este proiectată corespunzător și infrastructura de facilitare este finanțată adecvat. Legătura cu acțiunea comunitară, conexiunea dintre ceea ce deliberează tinerii și ceea ce comunitățile fac efectiv, este cel mai puternic factor de susținere a implicării participative: atunci când delegații RYP pot indica campanii de mediu, evenimente culturale și proiecte locale care au rezultat din deliberările lor, motivația de a continua implicarea este calitativ diferită de ceea ce poate genera orice proces de consultare. Ancorarea instituțională oferită de structura de guvernanță GAL, care dă rezultatelor RYP o cale administrativă către planificarea dezvoltării teritoriale, este cea mai importantă trăsătură structurală a modelului românesc și cea care necesită cea mai deliberată contextualizare pentru contextele Africii Subsahariene.</w:t>
      </w:r>
    </w:p>
    <w:p w:rsidR="00000000" w:rsidDel="00000000" w:rsidP="00000000" w:rsidRDefault="00000000" w:rsidRPr="00000000" w14:paraId="00000119">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Italia: metodologia de capacitare și limitele resurselor</w:t>
      </w:r>
    </w:p>
    <w:p w:rsidR="00000000" w:rsidDel="00000000" w:rsidP="00000000" w:rsidRDefault="00000000" w:rsidRPr="00000000" w14:paraId="0000011A">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Cea mai semnificativă contribuție a Italiei este metodologia Grupului Local de Sprijin YEPP, un model de capacitare care își atinge eficacitatea nu doar prin design instituțional, ci printr-o combinație particulară de investiție relațională pe termen lung, asumare autentică de către tineri a bugetelor și priorităților, ancorare comunitară și angajament instituțional susținut de-a lungul mai multor cicluri de proiect. Lecția analitică a YEPP pentru proiectarea RYP în Africa Subsahariană este că dimensiunile relaționale și culturale ale sprijinului pentru participare, tratate adesea ca elemente soft și suplimentare ale proiectării programelor, sunt de fapt determinanți structurali ai eficacității. Grupurile Locale de Sprijin YEPP reușesc acolo unde alte programe de participare a tinerilor eșuează în aceleași comunități, în principal pentru că le oferă delegaților tineri autoritate reală de decizie asupra unor resurse reale, oricât de modeste, și pentru că relația de facilitare este susținută de-a lungul anilor, nu doar pe durata ciclurilor de proiect. Dovezile italiene contribuie, de asemenea, cu o lecție critică de avertizare: rata șomajului în rândul tinerilor din Sicilia, de cincizeci și trei virgulă șase la sută, demonstrează că și nivelurile foarte ridicate de sprijin instituțional formal și finanțare de programe sunt insuficiente atunci când excluderea economică a tinerilor este atât de severă încât implicarea civică concurează cu supraviețuirea economică. Această lecție este direct aplicabilă contextelor din Africa Subsahariană, unde excluderea economică este și mai severă, iar proiectarea unor RYPs care nu abordează dimensiunea economică a vieții tinerilor alături de dimensiunea civică se va confrunta cu limite structurale privind sustenabilitatea.</w:t>
      </w:r>
    </w:p>
    <w:p w:rsidR="00000000" w:rsidDel="00000000" w:rsidP="00000000" w:rsidRDefault="00000000" w:rsidRPr="00000000" w14:paraId="0000011B">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1C">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1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Grecia: integrare instituțională și deficitul rural</w:t>
      </w:r>
    </w:p>
    <w:p w:rsidR="00000000" w:rsidDel="00000000" w:rsidP="00000000" w:rsidRDefault="00000000" w:rsidRPr="00000000" w14:paraId="0000011E">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Grecia contribuie cu modelul Consiliului Municipal al Tinerilor și cu experiența sa documentată amplu privind provocările susținerii structurilor de participare a tinerilor de-a lungul ciclurilor electorale și perioadelor de finanțare. Consiliul Municipal al Tinerilor din Larissa oferă un model de referință pentru integrarea instituțională a unui organism deliberativ al tinerilor în guvernanța municipală, demonstrând cum grupurile tematice de lucru, căile administrative definite și implicarea susținută în domenii specifice de politici publice pot transforma un forum de consultare într-o instituție reală de guvernanță. Dovezile din Grecia contribuie, de asemenea, cu o constatare sobră privind dimensiunea rurală a participării tinerilor, direct relevantă pentru EMPOWER+: chiar și într-o democrație europeană cu drept constituțional la participare și acces la fonduri structurale UE, Consiliile Municipale ale Tinerilor sunt înființate în mod inconsistent în municipalitățile rurale și se confruntă cu provocări endemice de dependență de finanțarea pe bază de proiecte, epuizare a voluntarilor și integrare instituțională redusă. Decalajul dintre arhitectura formală a participării tinerilor și realitatea practică pentru tinerii din mediul rural, pe care EMPOWER+ îl documentează în Africa Subsahariană, este prezent, într-o formă structural analogă, deși mai puțin severă, și în municipalitățile rurale ale statelor membre UE.</w:t>
      </w:r>
    </w:p>
    <w:p w:rsidR="00000000" w:rsidDel="00000000" w:rsidP="00000000" w:rsidRDefault="00000000" w:rsidRPr="00000000" w14:paraId="0000011F">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Lecții comune de proiectare europene</w:t>
      </w:r>
    </w:p>
    <w:p w:rsidR="00000000" w:rsidDel="00000000" w:rsidP="00000000" w:rsidRDefault="00000000" w:rsidRPr="00000000" w14:paraId="00000120">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Trei lecții comune de proiectare europene rezultă din analiza în interiorul grupului. În primul rând, sustenabilitatea este provocarea centrală cu care se confruntă toate modelele europene de participare a tinerilor, iar principala sursă a eșecului de sustenabilitate este finanțarea bazată pe proiecte, nu finanțarea bugetată instituțional. Tranziția de la participare finanțată prin proiecte la participare finanțată instituțional este cea mai importantă schimbare structurală pe care orice inovație de participare a tinerilor, europeană sau din Africa Subsahariană, trebuie să o realizeze pentru a dăinui dincolo de ciclul său fondator de proiect. În al doilea rând, dimensiunea relațională a sprijinului pentru participare — investiția în încredere, construirea încrederii în sine și dezvoltarea competențelor civice care fac deliberarea formală accesibilă tinerilor marginalizați — necesită timp măsurat în ani, nu în luni, și nu poate fi realizată prin evenimente unice de formare sau exerciții periodice de consultare. În al treilea rând, conexiunea dintre ceea ce deliberează tinerii și ceea ce procesele de guvernanță fac cu aceste deliberări este trăsătura decisivă a oricărui model de participare: fără un mecanism vizibil de închidere a buclei de responsabilizare, implicarea susținută este structural improbabilă, indiferent de calitatea procesului deliberativ în sine.</w:t>
      </w:r>
      <w:r w:rsidDel="00000000" w:rsidR="00000000" w:rsidRPr="00000000">
        <w:rPr>
          <w:rtl w:val="0"/>
        </w:rPr>
      </w:r>
    </w:p>
    <w:p w:rsidR="00000000" w:rsidDel="00000000" w:rsidP="00000000" w:rsidRDefault="00000000" w:rsidRPr="00000000" w14:paraId="00000121">
      <w:pPr>
        <w:pStyle w:val="Heading2"/>
        <w:keepNext w:val="1"/>
        <w:spacing w:after="80" w:before="280" w:lineRule="auto"/>
        <w:rPr>
          <w:rFonts w:ascii="Poppins" w:cs="Poppins" w:eastAsia="Poppins" w:hAnsi="Poppins"/>
          <w:color w:val="b7c3a1"/>
        </w:rPr>
      </w:pPr>
      <w:bookmarkStart w:colFirst="0" w:colLast="0" w:name="_heading=h.b10q3yvpbm68" w:id="29"/>
      <w:bookmarkEnd w:id="29"/>
      <w:r w:rsidDel="00000000" w:rsidR="00000000" w:rsidRPr="00000000">
        <w:rPr>
          <w:rFonts w:ascii="Poppins" w:cs="Poppins" w:eastAsia="Poppins" w:hAnsi="Poppins"/>
          <w:color w:val="b7c3a1"/>
          <w:rtl w:val="0"/>
        </w:rPr>
        <w:t xml:space="preserve">4.4 Transferul de cunoștințe din Europa către Africa Subsahariană: patru principii de proiectare</w:t>
      </w:r>
    </w:p>
    <w:p w:rsidR="00000000" w:rsidDel="00000000" w:rsidP="00000000" w:rsidRDefault="00000000" w:rsidRPr="00000000" w14:paraId="00000122">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Provocarea centrală comună: de ce experiența europeană este cu adevărat relevantă</w:t>
      </w:r>
    </w:p>
    <w:p w:rsidR="00000000" w:rsidDel="00000000" w:rsidP="00000000" w:rsidRDefault="00000000" w:rsidRPr="00000000" w14:paraId="00000123">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Primul și cel mai fundamental principiu al transferului de cunoștințe rezultat din această analiză este că provocarea fundamentală cu care se confruntă ambele clustere continentale este comună din punct de vedere structural, chiar dacă condițiile de implementare diferă substanțial. Atât în contextele Africii Subsahariene, cât și în cele ale țărilor partenere europene, tinerii din mediul rural se confruntă cu peisaje de participare în care drepturile formale există fără accesibilitate practică; în care consultarea este mai frecventă decât influența; în care energia comunitară și motivația civică sunt prezente, dar nu sunt conectate la procesele de guvernanță în care se iau decizii cu consecințe reale; și în care cei mai excluși tineri — tinere femei, tineri cu dizabilități, tineri marginalizați economic și tineri din cele mai izolate comunități — se confruntă cu bariere cumulative pe care niciun mecanism existent nu le abordează sistematic. Această convergență structurală înseamnă că experiența europeană privind ceea ce funcționează și ceea ce nu funcționează este cu adevărat relevantă pentru proiectarea în Africa Subsahariană, fără a constitui o impunere a unor soluții dezvoltate pentru contexte de guvernanță fundamental diferite. Metodologia RYP din România, modelul de capacitare YEPP din Italia și experiența Greciei privind integrarea instituțională a Consiliilor Municipale ale Tinerilor abordează toate probleme reale și comune, iar adaptarea lor pentru contextele Africii Subsahariene este un proces de contextualizare, nu de transplantare integrală. Transferul de cunoștințe este, de asemenea, cu adevărat bidirecțional: dovezile din țările partenere din Africa Subsahariană privind legitimitatea comunitară, guvernanța intergenerațională și rolul autorității tradiționale în susținerea participării oferă lecții de proiectare relevante pentru contextele europene care se confruntă cu limitele abordărilor instituționale formale.</w:t>
      </w:r>
    </w:p>
    <w:p w:rsidR="00000000" w:rsidDel="00000000" w:rsidP="00000000" w:rsidRDefault="00000000" w:rsidRPr="00000000" w14:paraId="00000124">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25">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Legitimitatea comunitară ca element nenegociabil: imperativul specific de proiectare pentru Africa Subsahariană</w:t>
      </w:r>
    </w:p>
    <w:p w:rsidR="00000000" w:rsidDel="00000000" w:rsidP="00000000" w:rsidRDefault="00000000" w:rsidRPr="00000000" w14:paraId="00000126">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Al doilea principiu este că legitimitatea comunitară reprezintă un factor de proiectare mai critic și mai complex în contextele Africii Subsahariene decât în cele europene, iar absența acesteia constituie un risc mai acut de eșec al RYP în Africa Subsahariană decât orice altă eroare de proiectare. Autoritatea tradițională și comunitară, întruchipată de Kgosi și Kgotla în Botswana, de sistemele pe grupe de vârstă și consiliile emirale în Nigeria, de andrimasompokonolona și asociațiile comunitare în Madagascar și de rețelele Consiliilor Regionale ale Tinerilor în Mauritius, nu este doar o caracteristică culturală a guvernanței din Africa Subsahariană, ci o condiție structurală prealabilă pentru legitimitatea susținută a oricărei structuri formale de participare. În contextele partenere europene, consiliile și parlamentele tinerilor își pot deriva autoritatea în principal din baza lor juridică și din conexiunea cu structurile formale de guvernare, deoarece autoritatea legitimă a acestor structuri formale este larg acceptată. În contextele rurale din Africa Subsahariană, autoritatea juridică formală este adesea îndepărtată, slab înțeleasă și nu este experimentată în mod consecvent ca legitimă de comunitățile rurale, a căror guvernanță de zi cu zi este modelată de instituții cutumiare. Modelele RYP adaptate pentru Africa Subsahariană trebuie, prin urmare, să caute și să obțină activ susținerea și participarea activă a liderilor tradiționali și comunitari ca pas fundamental de proiectare, nu ca activitate de relații publice sau ca element adăugat ulterior. Dovezile privind instituția Sarkin Samari din Nigeria și sistemul Kgotla din Botswana demonstrează că autoritatea tradițională poate fi un amplificator puternic al vocii tinerilor, nu o barieră în calea acesteia, atunci când liderii tradiționali sunt implicați ca parteneri reali în guvernanța tinerilor, în loc să fie ocoliți în favoarea unor structuri formale proiectate extern.</w:t>
      </w:r>
    </w:p>
    <w:p w:rsidR="00000000" w:rsidDel="00000000" w:rsidP="00000000" w:rsidRDefault="00000000" w:rsidRPr="00000000" w14:paraId="00000127">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28">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Contextualizare deliberată: ce se transferă și ce trebuie reproiectat</w:t>
      </w:r>
    </w:p>
    <w:p w:rsidR="00000000" w:rsidDel="00000000" w:rsidP="00000000" w:rsidRDefault="00000000" w:rsidRPr="00000000" w14:paraId="00000129">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Al treilea principiu este că barierele economice ale participării în contextele Africii Subsahariene sunt calitativ diferite de cele din contextele europene și necesită un răspuns de proiectare fundamental diferit. În rapoartele țărilor partenere europene, costurile de transport, costul de oportunitate al timpului și costurile directe ale participării sunt menționate doar în treacăt, deoarece fondurile structurale ale UE, bugetele programelor societății civile și sistemele de protecție socială le absorb în mare măsură. Delegații tineri la RYP din România primesc sprijin pentru transport; participanții YEPP din Italia primesc diurnă; membrii Consiliilor Municipale ale Tinerilor din Grecia nu se confruntă cu perspectiva de a renunța la venitul agricol al unei zile pentru a participa la o întâlnire. În contextele Africii Subsahariene, aceste costuri nu sunt absorbite de niciun sistem și sunt frecvent prohibitive pentru cei mai marginalizați tineri din mediul rural. Dovezile din Sarcina 2.1 pentru Madagascar documentează acest aspect cel mai clar: tinerii din mediul rural nu își pot permite costurile de transport pentru a ajunge la întâlnirile de participare, creând o barieră financiară directă care exclude cei mai marginalizați economic tineri de la toate activitățile de participare, indiferent de motivația sau capacitatea lor civică. Indemnizațiile de transport, sprijinul pentru diurnă, creditul de comunicare și prevederile pentru îngrijirea copiilor, care permit tinerelor mame să participe, nu sunt luxuri de program sau facilități administrative: ele sunt condiții structurale prealabile pentru participarea tinerilor care au cea mai mare nevoie de RYPs. Fiecare buget RYP din Africa Subsahariană trebuie să includă aceste prevederi ca și costuri fixe încă de la început, iar adecvarea lor trebuie monitorizată ca indicator al calității participării, alături de indicatori mai convenționali privind prezența și reprezentativitatea.</w:t>
      </w:r>
    </w:p>
    <w:p w:rsidR="00000000" w:rsidDel="00000000" w:rsidP="00000000" w:rsidRDefault="00000000" w:rsidRPr="00000000" w14:paraId="0000012A">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2B">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2C">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2D">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Contextualizare deliberată: ce se transferă și ce trebuie reproiectat</w:t>
      </w:r>
    </w:p>
    <w:p w:rsidR="00000000" w:rsidDel="00000000" w:rsidP="00000000" w:rsidRDefault="00000000" w:rsidRPr="00000000" w14:paraId="0000012E">
      <w:pPr>
        <w:jc w:val="both"/>
        <w:rPr>
          <w:rFonts w:ascii="Poppins" w:cs="Poppins" w:eastAsia="Poppins" w:hAnsi="Poppins"/>
        </w:rPr>
      </w:pPr>
      <w:r w:rsidDel="00000000" w:rsidR="00000000" w:rsidRPr="00000000">
        <w:rPr>
          <w:rFonts w:ascii="Poppins" w:cs="Poppins" w:eastAsia="Poppins" w:hAnsi="Poppins"/>
          <w:color w:val="1a1a1a"/>
          <w:rtl w:val="0"/>
        </w:rPr>
        <w:t xml:space="preserve">Al patrulea principiu este cel mai complex din punct de vedere operațional: metodologia RYP din România, cel mai direct aplicabil model european, necesită contextualizare deliberată și sistematică pentru fiecare cadru din Africa Subsahariană, iar distincția dintre ceea ce poate fi adaptat direct și ceea ce trebuie reproiectat fundamental nu este întotdeauna intuitivă. Metodologia deliberativă în sine, formatul structurat prin care delegații tineri identifică prioritățile comunitare, formulează propuneri și se implică într-un dialog responsabil cu factorii de decizie, este adaptabilă în diferite contexte culturale și de guvernanță, cu modificări adecvate pentru normele de comunicare specifice tradiției orale, utilizarea limbilor locale și stilurile de facilitare relevante cultural. Ghidul de facilitare dezvoltat prin practica iterativă din România oferă un punct de plecare, nu un protocol fix, iar adaptarea sa este o sarcină de proiectare care necesită participarea activă la co-proiectare a partenerilor din Africa Subsahariană, nu traducerea de către experții europeni. Modelul de legătură cu acțiunea comunitară, principiul potrivit căruia deliberările RYP produc acțiuni comunitare concrete, vizibile și atribuibile RYP, este direct transferabil ca principiu de proiectare, indiferent de activitățile specifice care rezultă în diferite contexte culturale. Ceea ce nu poate fi transferat direct și necesită cea mai deliberată reproiectare pentru fiecare context din Africa Subsahariană este strategia de ancorare instituțională: răspunsul specific la întrebarea care instituție din acest context are suficientă autoritate, legitimitate comunitară și acces la resurse pentru a oferi casa de guvernanță a RYP. În România, GAL oferă această ancoră prin mandatul său LEADER, rolul său de guvernanță teritorială și relațiile sale stabilite atât cu organizațiile comunitare, cât și cu instituțiile publice. Nicio instituție echivalentă nu există în cele patru contexte partenere din Africa Subsahariană, iar procesul de identificare și securizare a ancorei instituționale adecvate — fie un consiliu districtual în Botswana, o administrație LGA în Nigeria, un consiliu regional al tinerilor în Mauritius sau o autoritate la nivel comunal în Madagascar — este cea mai specifică și cea mai importantă sarcină de proiectare în fiecare țară din Africa Subsahariană, una care nu poate fi realizată de partenerii europeni în numele partenerilor din Africa Subsahariană, ci trebuie condusă de organizațiile din Africa Subsahariană care au cele mai profunde relații comunitare și cunoștințe instituționale.</w:t>
      </w:r>
      <w:r w:rsidDel="00000000" w:rsidR="00000000" w:rsidRPr="00000000">
        <w:br w:type="page"/>
      </w:r>
      <w:r w:rsidDel="00000000" w:rsidR="00000000" w:rsidRPr="00000000">
        <w:rPr>
          <w:rtl w:val="0"/>
        </w:rPr>
      </w:r>
    </w:p>
    <w:p w:rsidR="00000000" w:rsidDel="00000000" w:rsidP="00000000" w:rsidRDefault="00000000" w:rsidRPr="00000000" w14:paraId="0000012F">
      <w:pPr>
        <w:pStyle w:val="Heading1"/>
        <w:keepNext w:val="1"/>
        <w:spacing w:after="120" w:before="360" w:lineRule="auto"/>
        <w:rPr>
          <w:rFonts w:ascii="Poppins" w:cs="Poppins" w:eastAsia="Poppins" w:hAnsi="Poppins"/>
          <w:color w:val="2f6b3a"/>
        </w:rPr>
      </w:pPr>
      <w:bookmarkStart w:colFirst="0" w:colLast="0" w:name="_heading=h.78ncryuroib6" w:id="30"/>
      <w:bookmarkEnd w:id="30"/>
      <w:r w:rsidDel="00000000" w:rsidR="00000000" w:rsidRPr="00000000">
        <w:rPr>
          <w:rFonts w:ascii="Poppins" w:cs="Poppins" w:eastAsia="Poppins" w:hAnsi="Poppins"/>
          <w:color w:val="2f6b3a"/>
          <w:rtl w:val="0"/>
        </w:rPr>
        <w:t xml:space="preserve">5. Recomandări transversale pentru proiectarea Parlamentelor Tinerilor Rurali</w:t>
      </w:r>
    </w:p>
    <w:p w:rsidR="00000000" w:rsidDel="00000000" w:rsidP="00000000" w:rsidRDefault="00000000" w:rsidRPr="00000000" w14:paraId="00000130">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Următoarele recomandări sunt fundamentate pe analiza comparativă a tuturor celor paisprezece rapoarte de țară. Ele sunt structurate în șase arii tematice și sunt menite să informeze proiectarea Parlamentelor Tinerilor Rurali, platforma EMPOWER+, activitățile de formare și consolidare a capacităților și activitatea de advocacy pentru politici publice. Fiecare recomandare identifică relevanța sa principală: Africa Subsahariană, UE sau toate contextele.</w:t>
      </w:r>
      <w:r w:rsidDel="00000000" w:rsidR="00000000" w:rsidRPr="00000000">
        <w:rPr>
          <w:rtl w:val="0"/>
        </w:rPr>
      </w:r>
    </w:p>
    <w:p w:rsidR="00000000" w:rsidDel="00000000" w:rsidP="00000000" w:rsidRDefault="00000000" w:rsidRPr="00000000" w14:paraId="00000131">
      <w:pPr>
        <w:spacing w:after="100" w:before="60" w:lineRule="auto"/>
        <w:jc w:val="both"/>
        <w:rPr>
          <w:rFonts w:ascii="Poppins" w:cs="Poppins" w:eastAsia="Poppins" w:hAnsi="Poppins"/>
          <w:b w:val="1"/>
          <w:bCs w:val="1"/>
          <w:color w:val="b7c3a1"/>
          <w:sz w:val="36"/>
          <w:szCs w:val="36"/>
        </w:rPr>
      </w:pPr>
      <w:r w:rsidDel="00000000" w:rsidR="00000000" w:rsidRPr="00000000">
        <w:rPr>
          <w:rFonts w:ascii="Poppins" w:cs="Poppins" w:eastAsia="Poppins" w:hAnsi="Poppins"/>
          <w:b w:val="1"/>
          <w:bCs w:val="1"/>
          <w:color w:val="b7c3a1"/>
          <w:sz w:val="36"/>
          <w:szCs w:val="36"/>
          <w:rtl w:val="0"/>
        </w:rPr>
        <w:t xml:space="preserve">Aria de recomandare 1: ancorare instituțională și recunoaștere juridică</w:t>
      </w:r>
    </w:p>
    <w:p w:rsidR="00000000" w:rsidDel="00000000" w:rsidP="00000000" w:rsidRDefault="00000000" w:rsidRPr="00000000" w14:paraId="00000132">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Dovezile din toate cele șapte țări partenere sunt neechivoce: structurile de participare a tinerilor care nu au ancorare instituțională formală, finanțare predictibilă și recunoaștere juridică sunt, în cel mai bun caz, episodice și, în cel mai rău caz, tokenistice. Ancorarea instituțională este o condiție prealabilă pentru orice proiectare RYP care urmărește să reziste dincolo de un singur ciclu de proiect.</w:t>
      </w:r>
    </w:p>
    <w:p w:rsidR="00000000" w:rsidDel="00000000" w:rsidP="00000000" w:rsidRDefault="00000000" w:rsidRPr="00000000" w14:paraId="00000133">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34">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1.1: Ancorarea RYPs la nivel subnațional [TOATE]</w:t>
      </w:r>
    </w:p>
    <w:p w:rsidR="00000000" w:rsidDel="00000000" w:rsidP="00000000" w:rsidRDefault="00000000" w:rsidRPr="00000000" w14:paraId="00000135">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Parlamentele Tinerilor Rurali ar trebui să funcționeze la nivel de district, Local Government Area, ward, comună sau teritoriu GAL, în proximitatea tinerilor din mediul rural și integrate în procesele de guvernanță locală. Acesta este nivelul la care funcționează Kgotla, Comitetele de Dezvoltare la nivel de ward, Consiliile Regionale ale Tinerilor și structura de guvernanță GAL din România și unde ancorarea instituțională este cea mai fezabilă.</w:t>
      </w:r>
    </w:p>
    <w:p w:rsidR="00000000" w:rsidDel="00000000" w:rsidP="00000000" w:rsidRDefault="00000000" w:rsidRPr="00000000" w14:paraId="00000136">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1.2: Urmărirea recunoașterii instituționale formale [Africa Subsahariană]</w:t>
      </w:r>
    </w:p>
    <w:p w:rsidR="00000000" w:rsidDel="00000000" w:rsidP="00000000" w:rsidRDefault="00000000" w:rsidRPr="00000000" w14:paraId="00000137">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Procesul de proiectare pentru fiecare RYP din Africa Subsahariană ar trebui să includă o etapă explicită de recunoaștere instituțională: obținerea susținerii formale din partea autorităților locale, primarilor, consiliilor districtuale și liderilor tradiționali înainte de lansarea RYP. O rezoluție formală sau un memorandum de înțelegere oferă o bază de la care poate fi urmărită, în timp, consolidarea juridică.</w:t>
      </w:r>
    </w:p>
    <w:p w:rsidR="00000000" w:rsidDel="00000000" w:rsidP="00000000" w:rsidRDefault="00000000" w:rsidRPr="00000000" w14:paraId="00000138">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1.3: Advocacy pentru linii bugetare dedicate [Africa Subsahariană]</w:t>
      </w:r>
    </w:p>
    <w:p w:rsidR="00000000" w:rsidDel="00000000" w:rsidP="00000000" w:rsidRDefault="00000000" w:rsidRPr="00000000" w14:paraId="00000139">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Chiar și o alocare modestă într-un plan anual al administrației locale stabilește principiul finanțării publice pentru RYP și reduce semnificativ dependența acestuia de finanțarea externă prin proiecte. Partenerii de consorțiu din Nigeria și Botswana ar trebui să se implice în mod specific cu trezoreriile LGA și birourile financiare districtuale pentru a explora fezabilitatea unor linii bugetare dedicate RYP în cadrul alocărilor existente pentru programele de tineret.</w:t>
      </w:r>
    </w:p>
    <w:p w:rsidR="00000000" w:rsidDel="00000000" w:rsidP="00000000" w:rsidRDefault="00000000" w:rsidRPr="00000000" w14:paraId="0000013A">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1.4: Dezvoltarea unui model de cadru constituțional [TOATE]</w:t>
      </w:r>
    </w:p>
    <w:p w:rsidR="00000000" w:rsidDel="00000000" w:rsidP="00000000" w:rsidRDefault="00000000" w:rsidRPr="00000000" w14:paraId="0000013B">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z860iylbdiec" w:id="31"/>
      <w:bookmarkEnd w:id="31"/>
      <w:r w:rsidDel="00000000" w:rsidR="00000000" w:rsidRPr="00000000">
        <w:rPr>
          <w:rFonts w:ascii="Poppins" w:cs="Poppins" w:eastAsia="Poppins" w:hAnsi="Poppins"/>
          <w:b w:val="0"/>
          <w:bCs w:val="0"/>
          <w:color w:val="1a1a1a"/>
          <w:sz w:val="22"/>
          <w:szCs w:val="22"/>
          <w:rtl w:val="0"/>
        </w:rPr>
        <w:t xml:space="preserve">EMPOWER+ ar trebui să dezvolte un model adaptabil de cadru constituțional pentru RYPs, pornind de la CPA Youth Parliament Toolkit, standardele International IDEA și lecțiile din Parlamentul Tinerilor din statul Gombe și metodologia RYP din România, abordând structura de guvernanță, criteriile de reprezentare, formatul deliberativ, mecanismele de depunere a propunerilor și protocoalele de închidere a buclei de responsabilizare.</w:t>
      </w:r>
    </w:p>
    <w:p w:rsidR="00000000" w:rsidDel="00000000" w:rsidP="00000000" w:rsidRDefault="00000000" w:rsidRPr="00000000" w14:paraId="0000013C">
      <w:pPr>
        <w:spacing w:after="100" w:before="60" w:lineRule="auto"/>
        <w:jc w:val="both"/>
        <w:rPr>
          <w:rFonts w:ascii="Poppins" w:cs="Poppins" w:eastAsia="Poppins" w:hAnsi="Poppins"/>
          <w:b w:val="1"/>
          <w:bCs w:val="1"/>
          <w:color w:val="b7c3a1"/>
          <w:sz w:val="36"/>
          <w:szCs w:val="36"/>
        </w:rPr>
      </w:pPr>
      <w:r w:rsidDel="00000000" w:rsidR="00000000" w:rsidRPr="00000000">
        <w:rPr>
          <w:rFonts w:ascii="Poppins" w:cs="Poppins" w:eastAsia="Poppins" w:hAnsi="Poppins"/>
          <w:b w:val="1"/>
          <w:bCs w:val="1"/>
          <w:color w:val="b7c3a1"/>
          <w:sz w:val="36"/>
          <w:szCs w:val="36"/>
          <w:rtl w:val="0"/>
        </w:rPr>
        <w:t xml:space="preserve">Aria de recomandare 2: de la consultare la co-decizie</w:t>
      </w:r>
    </w:p>
    <w:p w:rsidR="00000000" w:rsidDel="00000000" w:rsidP="00000000" w:rsidRDefault="00000000" w:rsidRPr="00000000" w14:paraId="0000013D">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Cea mai consecventă constatare în toate cele șapte țări este că participarea este consultativă fără a fi influentă. Sunt necesare schimbări structurale în modul în care rezultatele participării sunt procesate, comunicate și conectate la deciziile de guvernanță.</w:t>
      </w:r>
    </w:p>
    <w:p w:rsidR="00000000" w:rsidDel="00000000" w:rsidP="00000000" w:rsidRDefault="00000000" w:rsidRPr="00000000" w14:paraId="0000013E">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2.1: Integrarea mecanismelor de influențare a deciziei [TOATE]</w:t>
      </w:r>
    </w:p>
    <w:p w:rsidR="00000000" w:rsidDel="00000000" w:rsidP="00000000" w:rsidRDefault="00000000" w:rsidRPr="00000000" w14:paraId="0000013F">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Fiecare proiectare RYP ar trebui să includă mecanisme formale pentru transmiterea propunerilor către autoritățile relevante, cu canale de comunicare definite, termene obligatorii de răspuns și monitorizare publică a măsurii în care și a modului în care rezoluțiile RYP sunt puse în practică. Aceste mecanisme reprezintă diferența structurală dintre un exercițiu de consultare și o instituție deliberativă reală.</w:t>
      </w:r>
    </w:p>
    <w:p w:rsidR="00000000" w:rsidDel="00000000" w:rsidP="00000000" w:rsidRDefault="00000000" w:rsidRPr="00000000" w14:paraId="00000140">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2.2: Stabilirea protocoalelor pentru bucla de feedback [TOATE]</w:t>
      </w:r>
    </w:p>
    <w:p w:rsidR="00000000" w:rsidDel="00000000" w:rsidP="00000000" w:rsidRDefault="00000000" w:rsidRPr="00000000" w14:paraId="00000141">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Autoritățile implicate formal în relația cu RYP ar trebui să fie obligate să răspundă la rezultatele RYP într-un termen definit, recomandat la șaizeci de zile, cu o explicație publică a ceea ce a fost acceptat, respins și de ce. Această singură schimbare instituțională abordează cel mai consecvent identificat factor al dezangajării tinerilor în toate cele șapte țări partenere.</w:t>
      </w:r>
    </w:p>
    <w:p w:rsidR="00000000" w:rsidDel="00000000" w:rsidP="00000000" w:rsidRDefault="00000000" w:rsidRPr="00000000" w14:paraId="00000142">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2.3: Pilotarea componentelor de bugetare participativă [Africa Subsahariană]</w:t>
      </w:r>
    </w:p>
    <w:p w:rsidR="00000000" w:rsidDel="00000000" w:rsidP="00000000" w:rsidRDefault="00000000" w:rsidRPr="00000000" w14:paraId="00000143">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rlab3qldozpl" w:id="32"/>
      <w:bookmarkEnd w:id="32"/>
      <w:r w:rsidDel="00000000" w:rsidR="00000000" w:rsidRPr="00000000">
        <w:rPr>
          <w:rFonts w:ascii="Poppins" w:cs="Poppins" w:eastAsia="Poppins" w:hAnsi="Poppins"/>
          <w:b w:val="0"/>
          <w:bCs w:val="0"/>
          <w:color w:val="1a1a1a"/>
          <w:sz w:val="22"/>
          <w:szCs w:val="22"/>
          <w:rtl w:val="0"/>
        </w:rPr>
        <w:t xml:space="preserve">Acolo unde partenerii din administrația locală sunt dispuși, EMPOWER+ ar trebui să piloteze componente de bugetare participativă în cadrul sau alături de activitățile RYP, oferind delegaților tineri autoritate directă de decizie asupra unei alocări definite de resurse publice. Chiar și la scară mică, bugetarea participativă oferă cea mai puternică demonstrație că participarea tinerilor produce rezultate reale.</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rFonts w:ascii="Poppins" w:cs="Poppins" w:eastAsia="Poppins" w:hAnsi="Poppins"/>
          <w:b w:val="1"/>
          <w:bCs w:val="1"/>
          <w:color w:val="b7c3a1"/>
          <w:sz w:val="36"/>
          <w:szCs w:val="36"/>
        </w:rPr>
      </w:pPr>
      <w:r w:rsidDel="00000000" w:rsidR="00000000" w:rsidRPr="00000000">
        <w:rPr>
          <w:rFonts w:ascii="Poppins" w:cs="Poppins" w:eastAsia="Poppins" w:hAnsi="Poppins"/>
          <w:b w:val="1"/>
          <w:bCs w:val="1"/>
          <w:color w:val="b7c3a1"/>
          <w:sz w:val="36"/>
          <w:szCs w:val="36"/>
          <w:rtl w:val="0"/>
        </w:rPr>
        <w:t xml:space="preserve">Aria de recomandare 3: accesibilitate rurală și incluziune radical</w:t>
      </w:r>
    </w:p>
    <w:p w:rsidR="00000000" w:rsidDel="00000000" w:rsidP="00000000" w:rsidRDefault="00000000" w:rsidRPr="00000000" w14:paraId="00000148">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3.1: Aplicarea criteriilor de accesibilitate rurală tuturor activităților [Africa Subsahariană]</w:t>
      </w:r>
    </w:p>
    <w:p w:rsidR="00000000" w:rsidDel="00000000" w:rsidP="00000000" w:rsidRDefault="00000000" w:rsidRPr="00000000" w14:paraId="00000149">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Toate activitățile RYP ar trebui evaluate în raport cu un set standard de criterii de accesibilitate rurală: calendar care nu intră în conflict cu sezoanele agricole; locații accesibile fără transport privat; sprijin pentru diurnă sau transport oferit ca practică standard; informații distribuite prin canale pe care tinerii din mediul rural le folosesc efectiv, inclusiv radio comunitar și rețele de egali; și desfășurarea lucrărilor în limbi locale, cu facilitare profesională.</w:t>
      </w:r>
    </w:p>
    <w:p w:rsidR="00000000" w:rsidDel="00000000" w:rsidP="00000000" w:rsidRDefault="00000000" w:rsidRPr="00000000" w14:paraId="0000014A">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4B">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3.2: Stabilirea cotelor minime de reprezentare [Africa Subsahariană]</w:t>
      </w:r>
    </w:p>
    <w:p w:rsidR="00000000" w:rsidDel="00000000" w:rsidP="00000000" w:rsidRDefault="00000000" w:rsidRPr="00000000" w14:paraId="0000014C">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Constituțiile RYP ar trebui să includă cote minime de reprezentare aplicabile: cel puțin cincizeci la sută dintre locuri deținute de tinere femei; locuri rezervate specifice sau outreach țintit pentru tinerii cu dizabilități; reprezentare minimă pentru tinerii care au abandonat școala și tinerii care nu sunt în educație, ocupare sau formare; și mecanisme care să asigure includerea sistematică a tinerilor din cele mai izolate comunități.</w:t>
      </w:r>
    </w:p>
    <w:p w:rsidR="00000000" w:rsidDel="00000000" w:rsidP="00000000" w:rsidRDefault="00000000" w:rsidRPr="00000000" w14:paraId="0000014D">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3.3: Investiția în mediatori de tineret ca infrastructură permanentă [TOATE]</w:t>
      </w:r>
    </w:p>
    <w:p w:rsidR="00000000" w:rsidDel="00000000" w:rsidP="00000000" w:rsidRDefault="00000000" w:rsidRPr="00000000" w14:paraId="0000014E">
      <w:pPr>
        <w:spacing w:after="100" w:before="60" w:lineRule="auto"/>
        <w:jc w:val="both"/>
        <w:rPr>
          <w:rFonts w:ascii="Poppins" w:cs="Poppins" w:eastAsia="Poppins" w:hAnsi="Poppins"/>
          <w:b w:val="0"/>
          <w:bCs w:val="0"/>
          <w:color w:val="1a1a1a"/>
          <w:sz w:val="22"/>
          <w:szCs w:val="22"/>
        </w:rPr>
      </w:pPr>
      <w:r w:rsidDel="00000000" w:rsidR="00000000" w:rsidRPr="00000000">
        <w:rPr>
          <w:rFonts w:ascii="Poppins" w:cs="Poppins" w:eastAsia="Poppins" w:hAnsi="Poppins"/>
          <w:b w:val="0"/>
          <w:bCs w:val="0"/>
          <w:color w:val="1a1a1a"/>
          <w:sz w:val="22"/>
          <w:szCs w:val="22"/>
          <w:rtl w:val="0"/>
        </w:rPr>
        <w:t xml:space="preserve">Lucrătorii de tineret și facilitatorii care construiesc alfabetizarea participativă, încrederea și competența civică ce fac posibilă participarea deliberativă pentru cei mai excluși tineri nu sunt un lux de proiect. Ei sunt infrastructură de participare de bază. Formarea și remunerarea lucrătorilor comunitari de tineret și a facilitatorilor RYP ar trebui integrate în fiecare buget operațional RYP ca element nenegociabil.</w:t>
      </w:r>
    </w:p>
    <w:p w:rsidR="00000000" w:rsidDel="00000000" w:rsidP="00000000" w:rsidRDefault="00000000" w:rsidRPr="00000000" w14:paraId="0000014F">
      <w:pPr>
        <w:rPr>
          <w:rFonts w:ascii="Poppins" w:cs="Poppins" w:eastAsia="Poppins" w:hAnsi="Poppins"/>
          <w:b w:val="1"/>
          <w:bCs w:val="1"/>
          <w:color w:val="b7c3a1"/>
          <w:sz w:val="36"/>
          <w:szCs w:val="36"/>
        </w:rPr>
      </w:pPr>
      <w:r w:rsidDel="00000000" w:rsidR="00000000" w:rsidRPr="00000000">
        <w:rPr>
          <w:rFonts w:ascii="Poppins" w:cs="Poppins" w:eastAsia="Poppins" w:hAnsi="Poppins"/>
          <w:b w:val="1"/>
          <w:bCs w:val="1"/>
          <w:color w:val="b7c3a1"/>
          <w:sz w:val="36"/>
          <w:szCs w:val="36"/>
          <w:rtl w:val="0"/>
        </w:rPr>
        <w:t xml:space="preserve">Aria de recomandare 4: sensibilitate culturală și parteneriat intergenerational</w:t>
      </w:r>
    </w:p>
    <w:p w:rsidR="00000000" w:rsidDel="00000000" w:rsidP="00000000" w:rsidRDefault="00000000" w:rsidRPr="00000000" w14:paraId="00000150">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4.1: Implicarea liderilor tradiționali ca parteneri formali [Africa Subsahariană]</w:t>
      </w:r>
    </w:p>
    <w:p w:rsidR="00000000" w:rsidDel="00000000" w:rsidP="00000000" w:rsidRDefault="00000000" w:rsidRPr="00000000" w14:paraId="00000151">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Șefii, bătrânii, Kgosi și consiliile emirale ar trebui implicați ca parteneri activi și formali în proiectarea, lansarea și guvernanța continuă a RYP. Participarea lor activă la lansarea RYP și primirea regulată a rezultatelor RYP contribuie la legitimitatea comunitară care face ca vocile tinerilor din cadrul RYP să fie luate în serios.</w:t>
      </w:r>
    </w:p>
    <w:p w:rsidR="00000000" w:rsidDel="00000000" w:rsidP="00000000" w:rsidRDefault="00000000" w:rsidRPr="00000000" w14:paraId="00000152">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4.2: Adaptarea formatelor deliberative la culturile locale de comunicare [Africa Subsahariană]</w:t>
      </w:r>
    </w:p>
    <w:p w:rsidR="00000000" w:rsidDel="00000000" w:rsidP="00000000" w:rsidRDefault="00000000" w:rsidRPr="00000000" w14:paraId="00000153">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Formatul de simulare parlamentară poate necesita adaptare semnificativă pentru contexte caracterizate de tradiție orală, norme de povestire și tipare de comunicare specifice adunărilor comunitare. Procesul deliberativ de bază este adaptabil; formatul parlamentar specific nu este o cerință fixă. EMPOWER+ ar trebui să sprijine fiecare partener din Africa Subsahariană în co-proiectarea unui format deliberativ care să fie relevant cultural pentru contextul său specific.</w:t>
      </w:r>
      <w:r w:rsidDel="00000000" w:rsidR="00000000" w:rsidRPr="00000000">
        <w:rPr>
          <w:rtl w:val="0"/>
        </w:rPr>
      </w:r>
    </w:p>
    <w:p w:rsidR="00000000" w:rsidDel="00000000" w:rsidP="00000000" w:rsidRDefault="00000000" w:rsidRPr="00000000" w14:paraId="00000154">
      <w:pPr>
        <w:rPr>
          <w:rFonts w:ascii="Poppins" w:cs="Poppins" w:eastAsia="Poppins" w:hAnsi="Poppins"/>
          <w:b w:val="1"/>
          <w:bCs w:val="1"/>
          <w:color w:val="b7c3a1"/>
          <w:sz w:val="36"/>
          <w:szCs w:val="36"/>
        </w:rPr>
      </w:pPr>
      <w:r w:rsidDel="00000000" w:rsidR="00000000" w:rsidRPr="00000000">
        <w:rPr>
          <w:rFonts w:ascii="Poppins" w:cs="Poppins" w:eastAsia="Poppins" w:hAnsi="Poppins"/>
          <w:b w:val="1"/>
          <w:bCs w:val="1"/>
          <w:color w:val="b7c3a1"/>
          <w:sz w:val="36"/>
          <w:szCs w:val="36"/>
          <w:rtl w:val="0"/>
        </w:rPr>
        <w:t xml:space="preserve">Aria de recomandare 5: finanțare sustenabilă și monitorizarea impactului</w:t>
      </w:r>
    </w:p>
    <w:p w:rsidR="00000000" w:rsidDel="00000000" w:rsidP="00000000" w:rsidRDefault="00000000" w:rsidRPr="00000000" w14:paraId="00000155">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5.1: Dezvoltarea unor modele de finanțare din surse multiple [TOATE]</w:t>
      </w:r>
    </w:p>
    <w:p w:rsidR="00000000" w:rsidDel="00000000" w:rsidP="00000000" w:rsidRDefault="00000000" w:rsidRPr="00000000" w14:paraId="00000156">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Fiecare RYP ar trebui să aibă un plan de sustenabilitate financiară care să combine cel puțin trei surse: o contribuție instituțională publică din partea administrației locale; finanțare pentru facilitare din partea societății civile, prin organizația parteneră principală; și cofinanțare externă în perioada proiectului. Planul de tranziție de la finanțarea externă la finanțarea predominant instituțională ar trebui să fie explicit și limitat în timp.</w:t>
      </w:r>
    </w:p>
    <w:p w:rsidR="00000000" w:rsidDel="00000000" w:rsidP="00000000" w:rsidRDefault="00000000" w:rsidRPr="00000000" w14:paraId="00000157">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58">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5.2: Construirea monitorizării și evaluării încă de la început [TOATE]</w:t>
      </w:r>
    </w:p>
    <w:p w:rsidR="00000000" w:rsidDel="00000000" w:rsidP="00000000" w:rsidRDefault="00000000" w:rsidRPr="00000000" w14:paraId="00000159">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Cadrul de monitorizare pentru fiecare RYP ar trebui să urmărească indicatori de calitate dincolo de simpla numărare a participanților: confortul tinerilor de a-și exprima opiniile; gradul în care rezultatele RYP influențează deciziile de guvernanță; reprezentativitatea membrilor; sustenabilitatea de-a lungul perioadelor de finanțare prin proiecte; și rata de răspuns instituțional la propunerile RYP.</w:t>
      </w:r>
    </w:p>
    <w:p w:rsidR="00000000" w:rsidDel="00000000" w:rsidP="00000000" w:rsidRDefault="00000000" w:rsidRPr="00000000" w14:paraId="0000015A">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5B">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5.3: Stabilirea unor mecanisme de sustenabilitate independente de EMPOWER+ [TOATE]</w:t>
      </w:r>
    </w:p>
    <w:p w:rsidR="00000000" w:rsidDel="00000000" w:rsidP="00000000" w:rsidRDefault="00000000" w:rsidRPr="00000000" w14:paraId="0000015C">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mvzh296w008m" w:id="33"/>
      <w:bookmarkEnd w:id="33"/>
      <w:r w:rsidDel="00000000" w:rsidR="00000000" w:rsidRPr="00000000">
        <w:rPr>
          <w:rFonts w:ascii="Poppins" w:cs="Poppins" w:eastAsia="Poppins" w:hAnsi="Poppins"/>
          <w:b w:val="0"/>
          <w:bCs w:val="0"/>
          <w:color w:val="1a1a1a"/>
          <w:sz w:val="22"/>
          <w:szCs w:val="22"/>
          <w:rtl w:val="0"/>
        </w:rPr>
        <w:t xml:space="preserve">Încă din primul an de funcționare a RYP, ar trebui luate măsuri deliberate pentru stabilirea unor mecanisme care nu depind de finanțarea proiectului EMPOWER+: formarea facilitatorilor locali pentru a conduce fără sprijin extern; integrarea activităților RYP în calendarele anuale de guvernanță; și crearea unor rețele de transfer de cunoștințe peer-to-peer. Măsura succesului este ceea ce rezistă după încheierea proiectului.</w:t>
      </w:r>
    </w:p>
    <w:p w:rsidR="00000000" w:rsidDel="00000000" w:rsidP="00000000" w:rsidRDefault="00000000" w:rsidRPr="00000000" w14:paraId="0000015D">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Aria de recomandare 6: schimb de cunoștințe Europa–Africa Subsahariană</w:t>
      </w:r>
    </w:p>
    <w:p w:rsidR="00000000" w:rsidDel="00000000" w:rsidP="00000000" w:rsidRDefault="00000000" w:rsidRPr="00000000" w14:paraId="0000015E">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6.1: Facilitarea învățării structurate între egali [TOATE]</w:t>
      </w:r>
    </w:p>
    <w:p w:rsidR="00000000" w:rsidDel="00000000" w:rsidP="00000000" w:rsidRDefault="00000000" w:rsidRPr="00000000" w14:paraId="0000015F">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Ar trebui structurate schimburi specifice de învățare între organizații partenere cu expertiză complementară: România cu Nigeria privind metodologia de simulare parlamentară; Italia cu Botswana privind abordările de capacitare; Grecia cu Mauritius privind integrarea instituțională. Aceste schimburi ar trebui documentate, iar lecțiile ar trebui integrate sistematic în baza de cunoștințe a platformei.</w:t>
      </w:r>
    </w:p>
    <w:p w:rsidR="00000000" w:rsidDel="00000000" w:rsidP="00000000" w:rsidRDefault="00000000" w:rsidRPr="00000000" w14:paraId="00000160">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61">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6.2: Adaptarea și pilotarea metodologiilor europene [TOATE]</w:t>
      </w:r>
    </w:p>
    <w:p w:rsidR="00000000" w:rsidDel="00000000" w:rsidP="00000000" w:rsidRDefault="00000000" w:rsidRPr="00000000" w14:paraId="00000162">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Metodologia RYP din România și modelul Grupului Local de Sprijin YEPP din Italia ar trebui co-proiectate formal pentru fiecare context din Africa Subsahariană printr-un proces colaborativ înainte de a fi pilotate și evaluate. Co-proiectarea nu este un simplu exercițiu de traducere; ea necesită un schimb real în ambele direcții, în care cunoașterea comunitară din Africa Subsahariană modelează adaptarea la fel de mult ca metodologia europeană.</w:t>
      </w:r>
    </w:p>
    <w:p w:rsidR="00000000" w:rsidDel="00000000" w:rsidP="00000000" w:rsidRDefault="00000000" w:rsidRPr="00000000" w14:paraId="00000163">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64">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Recomandarea 6.3: Construirea platformei EMPOWER+ ca resursă comparativă vie [TOATE]</w:t>
      </w:r>
    </w:p>
    <w:p w:rsidR="00000000" w:rsidDel="00000000" w:rsidP="00000000" w:rsidRDefault="00000000" w:rsidRPr="00000000" w14:paraId="00000165">
      <w:pPr>
        <w:jc w:val="both"/>
        <w:rPr>
          <w:rFonts w:ascii="Poppins" w:cs="Poppins" w:eastAsia="Poppins" w:hAnsi="Poppins"/>
        </w:rPr>
      </w:pPr>
      <w:r w:rsidDel="00000000" w:rsidR="00000000" w:rsidRPr="00000000">
        <w:rPr>
          <w:rFonts w:ascii="Poppins" w:cs="Poppins" w:eastAsia="Poppins" w:hAnsi="Poppins"/>
          <w:color w:val="1a1a1a"/>
          <w:rtl w:val="0"/>
        </w:rPr>
        <w:t xml:space="preserve">Platforma online EMPOWER+ ar trebui proiectată ca o resursă comparativă vie: un depozit de instrumente de participare, cadre juridice, bune practici, ghiduri de facilitare și povești comunitare accesibile lucrătorilor de tineret, factorilor de decizie, tinerilor și cercetătorilor din toate țările partenere. Valoarea sa depinde de designul multilingv, funcționalitatea offline pentru utilizatorii rurali din Africa Subsahariană și mentenanța după încheierea perioadei proiectului.</w:t>
      </w:r>
      <w:r w:rsidDel="00000000" w:rsidR="00000000" w:rsidRPr="00000000">
        <w:br w:type="page"/>
      </w:r>
      <w:r w:rsidDel="00000000" w:rsidR="00000000" w:rsidRPr="00000000">
        <w:rPr>
          <w:rtl w:val="0"/>
        </w:rPr>
      </w:r>
    </w:p>
    <w:p w:rsidR="00000000" w:rsidDel="00000000" w:rsidP="00000000" w:rsidRDefault="00000000" w:rsidRPr="00000000" w14:paraId="00000166">
      <w:pPr>
        <w:pStyle w:val="Heading1"/>
        <w:keepNext w:val="1"/>
        <w:spacing w:after="120" w:before="36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6. Concluzie: argumentul pentru Parlamentele Tinerilor Rurali</w:t>
      </w:r>
    </w:p>
    <w:p w:rsidR="00000000" w:rsidDel="00000000" w:rsidP="00000000" w:rsidRDefault="00000000" w:rsidRPr="00000000" w14:paraId="00000167">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Cercetarea documentată în acest Raport de sinteză prezintă o poveste consecventă și convingătoare în șapte țări și pe două continente. Tinerii din mediul rural sunt capabili, motivați și dispuși să contribuie la guvernanța comunităților lor. Implicarea tinerilor prin Kgotla în Botswana, sistemul comunitar de pază andrimasompokonolona din Madagascar, asociațiile pe grupe de vârstă și susținătorii tineri ai mișcării Follow the Money din Nigeria, rețeaua YUVA din Mauritius, sesiunile Parlamentului Tinerilor Rurali din România, Grupurile Locale de Sprijin YEPP din Italia și Consiliile Municipale ale Tinerilor din Grecia confirmă toate același adevăr fundamental: atunci când condițiile sunt potrivite, tinerii din mediul rural participă, inovează și conduc.</w:t>
      </w:r>
    </w:p>
    <w:p w:rsidR="00000000" w:rsidDel="00000000" w:rsidP="00000000" w:rsidRDefault="00000000" w:rsidRPr="00000000" w14:paraId="00000168">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Problema documentată în acest raport nu este un deficit de capacitate, motivație sau energie civică a tinerilor. Este un deficit de condiții instituționale, iar dovezile indică faptul că acest deficit este structural, sistemic și persistent în contexte naționale și niveluri de dezvoltare foarte diferite. Tinerii din mediul rural se confruntă cu peisaje de participare în care drepturile formale există pe hârtie, dar accesul practic este sever limitat; în care consultarea este frecventă, dar influența este rară; și în care barierele structurale ale izolării geografice, dificultăților economice, marginalizării culturale și mecanismelor absente de responsabilizare se combină pentru a asigura că vocile tinerilor sunt auzite fără a deveni consecvente.</w:t>
      </w:r>
    </w:p>
    <w:p w:rsidR="00000000" w:rsidDel="00000000" w:rsidP="00000000" w:rsidRDefault="00000000" w:rsidRPr="00000000" w14:paraId="00000169">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Proiectul EMPOWER+ răspunde acestui deficit printr-o intervenție specifică, fundamentată pe dovezi și atent proiectată: Parlamente ale Tinerilor Rurali ancorate la nivelul guvernanței locale, susținute de recunoaștere instituțională și finanțare dedicată, proiectate încă de la început pentru accesibilitate rurală, înrădăcinate cultural în legitimitatea comunitară existentă și orientate structural către co-decizie, nu doar către simplă consultare. România a testat modelul. Nigeria a practicat simularea parlamentară prin Parlamentul Tinerilor din statul Gombe. Mauritius a construit o infrastructură națională bienală de parlament al tinerilor. Botswana menține Kgotla ca tradiție vie de deliberare comunitară. Madagascar are cea mai urgentă nevoie și cel mai unanim mandat pentru schimbare.</w:t>
      </w:r>
    </w:p>
    <w:p w:rsidR="00000000" w:rsidDel="00000000" w:rsidP="00000000" w:rsidRDefault="00000000" w:rsidRPr="00000000" w14:paraId="0000016A">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Concluziile acestui raport stabilesc fundamentul analitic pentru următoarele etape ale proiectului: dezvoltarea platformei EMPOWER+ (D2.2); proiectarea și pilotarea modelelor de Parlament al Tinerilor Rurali în Botswana, Madagascar, Mauritius și Nigeria în cadrul Pachetului de lucru 3; activități de formare și consolidare a capacităților pentru lucrătorii și facilitatorii de tineret; și activitatea de advocacy pentru politici publice necesară pentru a se asigura că RYPs obțin recunoașterea instituțională și finanțarea sustenabilă de care depinde impactul lor pe termen lung.</w:t>
      </w:r>
    </w:p>
    <w:p w:rsidR="00000000" w:rsidDel="00000000" w:rsidP="00000000" w:rsidRDefault="00000000" w:rsidRPr="00000000" w14:paraId="0000016B">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6C">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6D">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6E">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6F">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70">
      <w:pPr>
        <w:spacing w:after="100" w:before="60" w:lineRule="auto"/>
        <w:jc w:val="both"/>
        <w:rPr>
          <w:rFonts w:ascii="Poppins" w:cs="Poppins" w:eastAsia="Poppins" w:hAnsi="Poppins"/>
          <w:color w:val="1a1a1a"/>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-85724</wp:posOffset>
                </wp:positionH>
                <wp:positionV relativeFrom="paragraph">
                  <wp:posOffset>188851</wp:posOffset>
                </wp:positionV>
                <wp:extent cx="6000750" cy="2440684"/>
                <wp:effectExtent b="0" l="0" r="0" t="0"/>
                <wp:wrapNone/>
                <wp:docPr id="1" name=""/>
                <a:graphic>
                  <a:graphicData uri="http://schemas.microsoft.com/office/word/2010/wordprocessingShape">
                    <wps:wsp>
                      <wps:cNvSpPr/>
                      <wps:cNvPr id="2" name="Shape 2"/>
                      <wps:spPr>
                        <a:xfrm>
                          <a:off x="2349955" y="3007609"/>
                          <a:ext cx="5992091" cy="1544782"/>
                        </a:xfrm>
                        <a:prstGeom prst="rect">
                          <a:avLst/>
                        </a:prstGeom>
                        <a:noFill/>
                        <a:ln cap="flat" cmpd="sng" w="9525">
                          <a:solidFill>
                            <a:schemeClr val="accent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-85724</wp:posOffset>
                </wp:positionH>
                <wp:positionV relativeFrom="paragraph">
                  <wp:posOffset>188851</wp:posOffset>
                </wp:positionV>
                <wp:extent cx="6000750" cy="2440684"/>
                <wp:effectExtent b="0" l="0" r="0" t="0"/>
                <wp:wrapNone/>
                <wp:docPr id="1"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6000750" cy="2440684"/>
                        </a:xfrm>
                        <a:prstGeom prst="rect"/>
                        <a:ln/>
                      </pic:spPr>
                    </pic:pic>
                  </a:graphicData>
                </a:graphic>
              </wp:anchor>
            </w:drawing>
          </mc:Fallback>
        </mc:AlternateContent>
      </w:r>
    </w:p>
    <w:p w:rsidR="00000000" w:rsidDel="00000000" w:rsidP="00000000" w:rsidRDefault="00000000" w:rsidRPr="00000000" w14:paraId="00000171">
      <w:pPr>
        <w:spacing w:after="100" w:before="60" w:lineRule="auto"/>
        <w:jc w:val="both"/>
        <w:rPr>
          <w:rFonts w:ascii="Poppins" w:cs="Poppins" w:eastAsia="Poppins" w:hAnsi="Poppins"/>
        </w:rPr>
      </w:pPr>
      <w:r w:rsidDel="00000000" w:rsidR="00000000" w:rsidRPr="00000000">
        <w:rPr>
          <w:rFonts w:ascii="Poppins" w:cs="Poppins" w:eastAsia="Poppins" w:hAnsi="Poppins"/>
          <w:b w:val="1"/>
          <w:bCs w:val="1"/>
          <w:i w:val="1"/>
          <w:iCs w:val="1"/>
          <w:color w:val="1a1a1a"/>
          <w:rtl w:val="0"/>
        </w:rPr>
        <w:t xml:space="preserve">Argumentul fundamental:</w:t>
      </w:r>
      <w:r w:rsidDel="00000000" w:rsidR="00000000" w:rsidRPr="00000000">
        <w:rPr>
          <w:rFonts w:ascii="Poppins" w:cs="Poppins" w:eastAsia="Poppins" w:hAnsi="Poppins"/>
          <w:i w:val="1"/>
          <w:iCs w:val="1"/>
          <w:color w:val="1a1a1a"/>
          <w:rtl w:val="0"/>
        </w:rPr>
        <w:t xml:space="preserve"> tinerii din mediul rural din Africa Subsahariană și din Europa rurală nu sunt beneficiari pasivi ai dezvoltării. Ei sunt actori de guvernanță, a căror participare îmbunătățește deciziile, a căror energie face comunitățile mai reziliente și a căror incluziune face democrațiile mai legitime. Parlamentele Tinerilor Rurali nu sunt un lux sau un element adăugat agendei de dezvoltare. Ele reprezintă o investiție în calitatea guvernanței însăși, iar EMPOWER+ există pentru a face ca această investiție să se întâmple, la scară largă, în mod sustenabil și cu rigoarea pe care această generație de tineri rurali o merită.</w:t>
      </w:r>
      <w:r w:rsidDel="00000000" w:rsidR="00000000" w:rsidRPr="00000000">
        <w:rPr>
          <w:rtl w:val="0"/>
        </w:rPr>
      </w:r>
    </w:p>
    <w:p w:rsidR="00000000" w:rsidDel="00000000" w:rsidP="00000000" w:rsidRDefault="00000000" w:rsidRPr="00000000" w14:paraId="00000172">
      <w:pPr>
        <w:spacing w:after="100" w:before="6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173">
      <w:pPr>
        <w:spacing w:after="100" w:before="6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174">
      <w:pPr>
        <w:pStyle w:val="Heading1"/>
        <w:keepNext w:val="1"/>
        <w:spacing w:after="120" w:before="36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Anexa A: Profiluri sintetice de țară</w:t>
      </w:r>
    </w:p>
    <w:p w:rsidR="00000000" w:rsidDel="00000000" w:rsidP="00000000" w:rsidRDefault="00000000" w:rsidRPr="00000000" w14:paraId="00000175">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Următoarele profiluri consolidează principalele concluzii pentru fiecare dintre cele șapte țări partenere, pe baza rezultatelor Sarcinilor 2.1 și 2.2. Acestea sunt concepute pentru consultare rapidă și pentru publicurile care au nevoie de informații specifice fiecărei țări fără a parcurge întreaga narațiune analitică.</w:t>
      </w:r>
      <w:r w:rsidDel="00000000" w:rsidR="00000000" w:rsidRPr="00000000">
        <w:rPr>
          <w:rtl w:val="0"/>
        </w:rPr>
      </w:r>
    </w:p>
    <w:p w:rsidR="00000000" w:rsidDel="00000000" w:rsidP="00000000" w:rsidRDefault="00000000" w:rsidRPr="00000000" w14:paraId="00000176">
      <w:pPr>
        <w:pStyle w:val="Heading2"/>
        <w:keepNext w:val="1"/>
        <w:spacing w:after="80" w:before="280" w:lineRule="auto"/>
        <w:jc w:val="both"/>
        <w:rPr>
          <w:rFonts w:ascii="Poppins" w:cs="Poppins" w:eastAsia="Poppins" w:hAnsi="Poppins"/>
          <w:color w:val="b7c3a1"/>
        </w:rPr>
      </w:pPr>
      <w:bookmarkStart w:colFirst="0" w:colLast="0" w:name="_heading=h.obe7rxyua01t" w:id="34"/>
      <w:bookmarkEnd w:id="34"/>
      <w:r w:rsidDel="00000000" w:rsidR="00000000" w:rsidRPr="00000000">
        <w:rPr>
          <w:rFonts w:ascii="Poppins" w:cs="Poppins" w:eastAsia="Poppins" w:hAnsi="Poppins"/>
          <w:color w:val="b7c3a1"/>
          <w:rtl w:val="0"/>
        </w:rPr>
        <w:t xml:space="preserve">Botswana</w:t>
      </w:r>
    </w:p>
    <w:p w:rsidR="00000000" w:rsidDel="00000000" w:rsidP="00000000" w:rsidRDefault="00000000" w:rsidRPr="00000000" w14:paraId="00000177">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000000"/>
          <w:rtl w:val="0"/>
        </w:rPr>
        <w:t xml:space="preserve">Regiune:</w:t>
      </w:r>
      <w:r w:rsidDel="00000000" w:rsidR="00000000" w:rsidRPr="00000000">
        <w:rPr>
          <w:rFonts w:ascii="Poppins" w:cs="Poppins" w:eastAsia="Poppins" w:hAnsi="Poppins"/>
          <w:rtl w:val="0"/>
        </w:rPr>
        <w:t xml:space="preserve"> </w:t>
      </w:r>
      <w:r w:rsidDel="00000000" w:rsidR="00000000" w:rsidRPr="00000000">
        <w:rPr>
          <w:rFonts w:ascii="Poppins" w:cs="Poppins" w:eastAsia="Poppins" w:hAnsi="Poppins"/>
          <w:color w:val="000000"/>
          <w:rtl w:val="0"/>
        </w:rPr>
        <w:t xml:space="preserve">Africa Subsahariană</w:t>
      </w:r>
      <w:r w:rsidDel="00000000" w:rsidR="00000000" w:rsidRPr="00000000">
        <w:rPr>
          <w:rFonts w:ascii="Poppins" w:cs="Poppins" w:eastAsia="Poppins" w:hAnsi="Poppins"/>
          <w:color w:val="1a1a1a"/>
          <w:rtl w:val="0"/>
        </w:rPr>
        <w:t xml:space="preserve">a</w:t>
      </w:r>
      <w:r w:rsidDel="00000000" w:rsidR="00000000" w:rsidRPr="00000000">
        <w:rPr>
          <w:rtl w:val="0"/>
        </w:rPr>
      </w:r>
    </w:p>
    <w:p w:rsidR="00000000" w:rsidDel="00000000" w:rsidP="00000000" w:rsidRDefault="00000000" w:rsidRPr="00000000" w14:paraId="00000178">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Organizație/organizații coordonatoare:</w:t>
      </w:r>
      <w:r w:rsidDel="00000000" w:rsidR="00000000" w:rsidRPr="00000000">
        <w:rPr>
          <w:rFonts w:ascii="Poppins" w:cs="Poppins" w:eastAsia="Poppins" w:hAnsi="Poppins"/>
          <w:color w:val="000000"/>
          <w:rtl w:val="0"/>
        </w:rPr>
        <w:t xml:space="preserve"> Joint Minds Consult (JMC) și Tlokweng District Council (TIDC)</w:t>
      </w:r>
    </w:p>
    <w:p w:rsidR="00000000" w:rsidDel="00000000" w:rsidP="00000000" w:rsidRDefault="00000000" w:rsidRPr="00000000" w14:paraId="00000179">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Cadru de politici publice:</w:t>
      </w:r>
      <w:r w:rsidDel="00000000" w:rsidR="00000000" w:rsidRPr="00000000">
        <w:rPr>
          <w:rFonts w:ascii="Poppins" w:cs="Poppins" w:eastAsia="Poppins" w:hAnsi="Poppins"/>
          <w:color w:val="000000"/>
          <w:rtl w:val="0"/>
        </w:rPr>
        <w:t xml:space="preserve"> Politica Națională Revizuită pentru Tineret (2010); Carta Africană a Tineretului</w:t>
      </w:r>
    </w:p>
    <w:p w:rsidR="00000000" w:rsidDel="00000000" w:rsidP="00000000" w:rsidRDefault="00000000" w:rsidRPr="00000000" w14:paraId="0000017A">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Puncte forte-cheie: </w:t>
      </w:r>
      <w:r w:rsidDel="00000000" w:rsidR="00000000" w:rsidRPr="00000000">
        <w:rPr>
          <w:rFonts w:ascii="Poppins" w:cs="Poppins" w:eastAsia="Poppins" w:hAnsi="Poppins"/>
          <w:color w:val="000000"/>
          <w:rtl w:val="0"/>
        </w:rPr>
        <w:t xml:space="preserve">Sistem Kgotla legitim cultural; Fond activ pentru Dezvoltarea Tinerilor; societate civilă vibrantă, inclusiv Youth Unlimited; două focus-grupuri structurate, multi-actor, care oferă dovezi primare solide.</w:t>
      </w:r>
    </w:p>
    <w:p w:rsidR="00000000" w:rsidDel="00000000" w:rsidP="00000000" w:rsidRDefault="00000000" w:rsidRPr="00000000" w14:paraId="0000017B">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Lacune-cheie: </w:t>
      </w:r>
      <w:r w:rsidDel="00000000" w:rsidR="00000000" w:rsidRPr="00000000">
        <w:rPr>
          <w:rFonts w:ascii="Poppins" w:cs="Poppins" w:eastAsia="Poppins" w:hAnsi="Poppins"/>
          <w:color w:val="000000"/>
          <w:rtl w:val="0"/>
        </w:rPr>
        <w:t xml:space="preserve">Participare unidirecțională fără responsabilizare prin feedback; norma culturală „prea tânăr pentru a conduce”; inegalitate digitală în zonele rurale; bariere de programare care intră în conflict cu mijloacele de trai.</w:t>
      </w:r>
    </w:p>
    <w:p w:rsidR="00000000" w:rsidDel="00000000" w:rsidP="00000000" w:rsidRDefault="00000000" w:rsidRPr="00000000" w14:paraId="0000017C">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Bune practici: </w:t>
      </w:r>
      <w:r w:rsidDel="00000000" w:rsidR="00000000" w:rsidRPr="00000000">
        <w:rPr>
          <w:rFonts w:ascii="Poppins" w:cs="Poppins" w:eastAsia="Poppins" w:hAnsi="Poppins"/>
          <w:color w:val="000000"/>
          <w:rtl w:val="0"/>
        </w:rPr>
        <w:t xml:space="preserve">Kgotla ca spațiu de deliberare; modelul național de simulare a Parlamentului Tinerilor; formare în alfabetizare participativă prin societatea civilă.</w:t>
      </w:r>
    </w:p>
    <w:p w:rsidR="00000000" w:rsidDel="00000000" w:rsidP="00000000" w:rsidRDefault="00000000" w:rsidRPr="00000000" w14:paraId="0000017D">
      <w:pPr>
        <w:spacing w:after="40" w:before="40" w:lineRule="auto"/>
        <w:jc w:val="both"/>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Metodologia Sarcinii 2.2:</w:t>
      </w:r>
      <w:r w:rsidDel="00000000" w:rsidR="00000000" w:rsidRPr="00000000">
        <w:rPr>
          <w:rFonts w:ascii="Poppins" w:cs="Poppins" w:eastAsia="Poppins" w:hAnsi="Poppins"/>
          <w:color w:val="000000"/>
          <w:rtl w:val="0"/>
        </w:rPr>
        <w:t xml:space="preserve"> Două focus-grupuri multi-actor în Mogobane și Tlokweng, cu dovezi detaliate privind accesibilitatea, relevanța și eficacitatea instrumentelor.</w:t>
      </w:r>
      <w:r w:rsidDel="00000000" w:rsidR="00000000" w:rsidRPr="00000000">
        <w:rPr>
          <w:rtl w:val="0"/>
        </w:rPr>
      </w:r>
    </w:p>
    <w:p w:rsidR="00000000" w:rsidDel="00000000" w:rsidP="00000000" w:rsidRDefault="00000000" w:rsidRPr="00000000" w14:paraId="0000017E">
      <w:pPr>
        <w:spacing w:after="40" w:before="40" w:lineRule="auto"/>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7F">
      <w:pPr>
        <w:pStyle w:val="Heading2"/>
        <w:keepNext w:val="1"/>
        <w:spacing w:after="80" w:before="280" w:lineRule="auto"/>
        <w:rPr>
          <w:rFonts w:ascii="Poppins" w:cs="Poppins" w:eastAsia="Poppins" w:hAnsi="Poppins"/>
          <w:color w:val="b7c3a1"/>
        </w:rPr>
      </w:pPr>
      <w:bookmarkStart w:colFirst="0" w:colLast="0" w:name="_heading=h.idoypnjzv6hd" w:id="35"/>
      <w:bookmarkEnd w:id="35"/>
      <w:r w:rsidDel="00000000" w:rsidR="00000000" w:rsidRPr="00000000">
        <w:rPr>
          <w:rFonts w:ascii="Poppins" w:cs="Poppins" w:eastAsia="Poppins" w:hAnsi="Poppins"/>
          <w:color w:val="b7c3a1"/>
          <w:rtl w:val="0"/>
        </w:rPr>
        <w:t xml:space="preserve">Madagascar</w:t>
      </w:r>
    </w:p>
    <w:p w:rsidR="00000000" w:rsidDel="00000000" w:rsidP="00000000" w:rsidRDefault="00000000" w:rsidRPr="00000000" w14:paraId="00000180">
      <w:pPr>
        <w:spacing w:after="40" w:before="40" w:lineRule="auto"/>
        <w:rPr>
          <w:rFonts w:ascii="Poppins" w:cs="Poppins" w:eastAsia="Poppins" w:hAnsi="Poppins"/>
        </w:rPr>
      </w:pPr>
      <w:r w:rsidDel="00000000" w:rsidR="00000000" w:rsidRPr="00000000">
        <w:rPr>
          <w:rFonts w:ascii="Poppins" w:cs="Poppins" w:eastAsia="Poppins" w:hAnsi="Poppins"/>
          <w:b w:val="1"/>
          <w:bCs w:val="1"/>
          <w:rtl w:val="0"/>
        </w:rPr>
        <w:t xml:space="preserve">Regiune: </w:t>
      </w:r>
      <w:r w:rsidDel="00000000" w:rsidR="00000000" w:rsidRPr="00000000">
        <w:rPr>
          <w:rFonts w:ascii="Poppins" w:cs="Poppins" w:eastAsia="Poppins" w:hAnsi="Poppins"/>
          <w:rtl w:val="0"/>
        </w:rPr>
        <w:t xml:space="preserve">Africa Subsahariană</w:t>
      </w:r>
    </w:p>
    <w:p w:rsidR="00000000" w:rsidDel="00000000" w:rsidP="00000000" w:rsidRDefault="00000000" w:rsidRPr="00000000" w14:paraId="00000181">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Organizație/organizații coordonatoare:</w:t>
      </w:r>
      <w:r w:rsidDel="00000000" w:rsidR="00000000" w:rsidRPr="00000000">
        <w:rPr>
          <w:rFonts w:ascii="Poppins" w:cs="Poppins" w:eastAsia="Poppins" w:hAnsi="Poppins"/>
          <w:rtl w:val="0"/>
        </w:rPr>
        <w:t xml:space="preserve"> Centres d'Entraînement aux Méthodes d'Éducation Active de Madagascar (CEMEA)</w:t>
      </w:r>
    </w:p>
    <w:p w:rsidR="00000000" w:rsidDel="00000000" w:rsidP="00000000" w:rsidRDefault="00000000" w:rsidRPr="00000000" w14:paraId="00000182">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Cadru de politici publice: </w:t>
      </w:r>
      <w:r w:rsidDel="00000000" w:rsidR="00000000" w:rsidRPr="00000000">
        <w:rPr>
          <w:rFonts w:ascii="Poppins" w:cs="Poppins" w:eastAsia="Poppins" w:hAnsi="Poppins"/>
          <w:rtl w:val="0"/>
        </w:rPr>
        <w:t xml:space="preserve">Plan d’Emergence de Madagascar; Planuri Comunale de Dezvoltare; mandatul Ministerului Tineretului și Sportului</w:t>
      </w:r>
    </w:p>
    <w:p w:rsidR="00000000" w:rsidDel="00000000" w:rsidP="00000000" w:rsidRDefault="00000000" w:rsidRPr="00000000" w14:paraId="00000183">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Puncte forte-cheie: </w:t>
      </w:r>
      <w:r w:rsidDel="00000000" w:rsidR="00000000" w:rsidRPr="00000000">
        <w:rPr>
          <w:rFonts w:ascii="Poppins" w:cs="Poppins" w:eastAsia="Poppins" w:hAnsi="Poppins"/>
          <w:rtl w:val="0"/>
        </w:rPr>
        <w:t xml:space="preserve">Energie asociativă extraordinară la nivel de bază; rol civic andrimasompokonolona; mișcări scout vibrante; sprijin unanim pentru RYP din partea tuturor celor treizeci și patru de actori relevanți ai Sarcinii 2.1.</w:t>
      </w:r>
    </w:p>
    <w:p w:rsidR="00000000" w:rsidDel="00000000" w:rsidP="00000000" w:rsidRDefault="00000000" w:rsidRPr="00000000" w14:paraId="00000184">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Lacune-cheie: </w:t>
      </w:r>
      <w:r w:rsidDel="00000000" w:rsidR="00000000" w:rsidRPr="00000000">
        <w:rPr>
          <w:rFonts w:ascii="Poppins" w:cs="Poppins" w:eastAsia="Poppins" w:hAnsi="Poppins"/>
          <w:rtl w:val="0"/>
        </w:rPr>
        <w:t xml:space="preserve">Excludere economică severă care creează bariere financiare directe; dezechilibre intergeneraționale profunde de putere; deficite informaționale; capacitate instituțională de stat foarte slabă în zonele rurale; participare formală concentrată în apropierea capitalei.</w:t>
      </w:r>
    </w:p>
    <w:p w:rsidR="00000000" w:rsidDel="00000000" w:rsidP="00000000" w:rsidRDefault="00000000" w:rsidRPr="00000000" w14:paraId="00000185">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Bune practici: </w:t>
      </w:r>
      <w:r w:rsidDel="00000000" w:rsidR="00000000" w:rsidRPr="00000000">
        <w:rPr>
          <w:rFonts w:ascii="Poppins" w:cs="Poppins" w:eastAsia="Poppins" w:hAnsi="Poppins"/>
          <w:rtl w:val="0"/>
        </w:rPr>
        <w:t xml:space="preserve">Modelul andrimasompokonolona; organizații scout și asociații civice; educație civică privind drepturile în școli.</w:t>
      </w:r>
    </w:p>
    <w:p w:rsidR="00000000" w:rsidDel="00000000" w:rsidP="00000000" w:rsidRDefault="00000000" w:rsidRPr="00000000" w14:paraId="00000186">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Metodologia Sarcinii 2.2: </w:t>
      </w:r>
      <w:r w:rsidDel="00000000" w:rsidR="00000000" w:rsidRPr="00000000">
        <w:rPr>
          <w:rFonts w:ascii="Poppins" w:cs="Poppins" w:eastAsia="Poppins" w:hAnsi="Poppins"/>
          <w:rtl w:val="0"/>
        </w:rPr>
        <w:t xml:space="preserve">Focus-grupuri cu opt până la doisprezece participanți pe sesiune, cu vârste între cincisprezece și treizeci de ani, în districte rurale selectate. Metodologie interactivă, inclusiv vot cu puncte și ghiduri structurate de discuție. Cinci teme-cheie explorate: educație și competențe, ocupare, participarea tinerilor, egalitate de gen și nevoi de dezvoltare comunitară.</w:t>
      </w:r>
    </w:p>
    <w:p w:rsidR="00000000" w:rsidDel="00000000" w:rsidP="00000000" w:rsidRDefault="00000000" w:rsidRPr="00000000" w14:paraId="00000187">
      <w:pPr>
        <w:spacing w:after="40" w:before="40" w:lineRule="auto"/>
        <w:rPr>
          <w:rFonts w:ascii="Poppins" w:cs="Poppins" w:eastAsia="Poppins" w:hAnsi="Poppins"/>
        </w:rPr>
      </w:pPr>
      <w:r w:rsidDel="00000000" w:rsidR="00000000" w:rsidRPr="00000000">
        <w:rPr>
          <w:rtl w:val="0"/>
        </w:rPr>
      </w:r>
    </w:p>
    <w:p w:rsidR="00000000" w:rsidDel="00000000" w:rsidP="00000000" w:rsidRDefault="00000000" w:rsidRPr="00000000" w14:paraId="00000188">
      <w:pPr>
        <w:pStyle w:val="Heading2"/>
        <w:keepNext w:val="1"/>
        <w:spacing w:after="80" w:before="280" w:lineRule="auto"/>
        <w:rPr>
          <w:rFonts w:ascii="Poppins" w:cs="Poppins" w:eastAsia="Poppins" w:hAnsi="Poppins"/>
          <w:color w:val="b7c3a1"/>
        </w:rPr>
      </w:pPr>
      <w:bookmarkStart w:colFirst="0" w:colLast="0" w:name="_heading=h.yoeeu126yyjg" w:id="36"/>
      <w:bookmarkEnd w:id="36"/>
      <w:r w:rsidDel="00000000" w:rsidR="00000000" w:rsidRPr="00000000">
        <w:rPr>
          <w:rFonts w:ascii="Poppins" w:cs="Poppins" w:eastAsia="Poppins" w:hAnsi="Poppins"/>
          <w:color w:val="b7c3a1"/>
          <w:rtl w:val="0"/>
        </w:rPr>
        <w:t xml:space="preserve">Mauritius</w:t>
      </w:r>
    </w:p>
    <w:p w:rsidR="00000000" w:rsidDel="00000000" w:rsidP="00000000" w:rsidRDefault="00000000" w:rsidRPr="00000000" w14:paraId="00000189">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Regiune: </w:t>
      </w:r>
      <w:r w:rsidDel="00000000" w:rsidR="00000000" w:rsidRPr="00000000">
        <w:rPr>
          <w:rFonts w:ascii="Poppins" w:cs="Poppins" w:eastAsia="Poppins" w:hAnsi="Poppins"/>
          <w:rtl w:val="0"/>
        </w:rPr>
        <w:t xml:space="preserve">Africa Subsahariană</w:t>
      </w:r>
    </w:p>
    <w:p w:rsidR="00000000" w:rsidDel="00000000" w:rsidP="00000000" w:rsidRDefault="00000000" w:rsidRPr="00000000" w14:paraId="0000018A">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Organizație/organizații coordonatoare: </w:t>
      </w:r>
      <w:r w:rsidDel="00000000" w:rsidR="00000000" w:rsidRPr="00000000">
        <w:rPr>
          <w:rFonts w:ascii="Poppins" w:cs="Poppins" w:eastAsia="Poppins" w:hAnsi="Poppins"/>
          <w:rtl w:val="0"/>
        </w:rPr>
        <w:t xml:space="preserve">Fédération des Maisons Familiales Rurales de Maurice et Rodrigues (MFFR Maurice)</w:t>
      </w:r>
    </w:p>
    <w:p w:rsidR="00000000" w:rsidDel="00000000" w:rsidP="00000000" w:rsidRDefault="00000000" w:rsidRPr="00000000" w14:paraId="0000018B">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Cadru de politici publice: </w:t>
      </w:r>
      <w:r w:rsidDel="00000000" w:rsidR="00000000" w:rsidRPr="00000000">
        <w:rPr>
          <w:rFonts w:ascii="Poppins" w:cs="Poppins" w:eastAsia="Poppins" w:hAnsi="Poppins"/>
          <w:rtl w:val="0"/>
        </w:rPr>
        <w:t xml:space="preserve">Legea Consiliului Național al Tinerilor (1998); Politica Națională pentru Tineret (2016); Programul Național de Dezvoltare a Tinerilor</w:t>
      </w:r>
    </w:p>
    <w:p w:rsidR="00000000" w:rsidDel="00000000" w:rsidP="00000000" w:rsidRDefault="00000000" w:rsidRPr="00000000" w14:paraId="0000018C">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Puncte forte-cheie: </w:t>
      </w:r>
      <w:r w:rsidDel="00000000" w:rsidR="00000000" w:rsidRPr="00000000">
        <w:rPr>
          <w:rFonts w:ascii="Poppins" w:cs="Poppins" w:eastAsia="Poppins" w:hAnsi="Poppins"/>
          <w:rtl w:val="0"/>
        </w:rPr>
        <w:t xml:space="preserve">Consilii Regionale ale Tinerilor în fiecare district, inclusiv Rodrigues; Centre de Tineret în zone rurale; ONG-ul YUVA cu programe agile de capacitare rurală; bune practici susținute, inclusiv Maisons Familiales Rurales și Cluburile de Tineret DIS-MOI.</w:t>
      </w:r>
    </w:p>
    <w:p w:rsidR="00000000" w:rsidDel="00000000" w:rsidP="00000000" w:rsidRDefault="00000000" w:rsidRPr="00000000" w14:paraId="0000018D">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Lacune-cheie: </w:t>
      </w:r>
      <w:r w:rsidDel="00000000" w:rsidR="00000000" w:rsidRPr="00000000">
        <w:rPr>
          <w:rFonts w:ascii="Poppins" w:cs="Poppins" w:eastAsia="Poppins" w:hAnsi="Poppins"/>
          <w:rtl w:val="0"/>
        </w:rPr>
        <w:t xml:space="preserve">Dependență de afiliere care limitează accesul tinerilor rurali independenți; implicare agricolă redusă; monitorizare slabă a politicilor publice; decalaje digitale și geografice care afectează în special Rodrigues.</w:t>
      </w:r>
    </w:p>
    <w:p w:rsidR="00000000" w:rsidDel="00000000" w:rsidP="00000000" w:rsidRDefault="00000000" w:rsidRPr="00000000" w14:paraId="0000018E">
      <w:pPr>
        <w:spacing w:after="40" w:before="40" w:lineRule="auto"/>
        <w:rPr>
          <w:rFonts w:ascii="Poppins" w:cs="Poppins" w:eastAsia="Poppins" w:hAnsi="Poppins"/>
          <w:b w:val="1"/>
          <w:bCs w:val="1"/>
        </w:rPr>
      </w:pPr>
      <w:r w:rsidDel="00000000" w:rsidR="00000000" w:rsidRPr="00000000">
        <w:rPr>
          <w:rFonts w:ascii="Poppins" w:cs="Poppins" w:eastAsia="Poppins" w:hAnsi="Poppins"/>
          <w:b w:val="1"/>
          <w:bCs w:val="1"/>
          <w:rtl w:val="0"/>
        </w:rPr>
        <w:t xml:space="preserve">Bune practici: </w:t>
      </w:r>
      <w:r w:rsidDel="00000000" w:rsidR="00000000" w:rsidRPr="00000000">
        <w:rPr>
          <w:rFonts w:ascii="Poppins" w:cs="Poppins" w:eastAsia="Poppins" w:hAnsi="Poppins"/>
          <w:rtl w:val="0"/>
        </w:rPr>
        <w:t xml:space="preserve">YUVA Rural Youth Empowerment Project; Maisons Familiales Rurales; Cluburile de Tineret DIS-MOI; Parlamentul Tinerilor din Mauritius.</w:t>
      </w:r>
      <w:r w:rsidDel="00000000" w:rsidR="00000000" w:rsidRPr="00000000">
        <w:rPr>
          <w:rtl w:val="0"/>
        </w:rPr>
      </w:r>
    </w:p>
    <w:p w:rsidR="00000000" w:rsidDel="00000000" w:rsidP="00000000" w:rsidRDefault="00000000" w:rsidRPr="00000000" w14:paraId="0000018F">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Metodologia Sarcinii 2.2: </w:t>
      </w:r>
      <w:r w:rsidDel="00000000" w:rsidR="00000000" w:rsidRPr="00000000">
        <w:rPr>
          <w:rFonts w:ascii="Poppins" w:cs="Poppins" w:eastAsia="Poppins" w:hAnsi="Poppins"/>
          <w:rtl w:val="0"/>
        </w:rPr>
        <w:t xml:space="preserve">Focus-grupuri cu douăzeci și cinci de tineri din districte urbane și rurale; diviziunea de acces urban-rural clar documentată.</w:t>
      </w:r>
    </w:p>
    <w:p w:rsidR="00000000" w:rsidDel="00000000" w:rsidP="00000000" w:rsidRDefault="00000000" w:rsidRPr="00000000" w14:paraId="00000190">
      <w:pPr>
        <w:spacing w:after="40" w:before="4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191">
      <w:pPr>
        <w:pStyle w:val="Heading2"/>
        <w:keepNext w:val="1"/>
        <w:spacing w:after="80" w:before="280" w:lineRule="auto"/>
        <w:jc w:val="both"/>
        <w:rPr>
          <w:rFonts w:ascii="Poppins" w:cs="Poppins" w:eastAsia="Poppins" w:hAnsi="Poppins"/>
          <w:color w:val="b7c3a1"/>
        </w:rPr>
      </w:pPr>
      <w:bookmarkStart w:colFirst="0" w:colLast="0" w:name="_heading=h.f4vc5ee3bswp" w:id="37"/>
      <w:bookmarkEnd w:id="37"/>
      <w:r w:rsidDel="00000000" w:rsidR="00000000" w:rsidRPr="00000000">
        <w:rPr>
          <w:rFonts w:ascii="Poppins" w:cs="Poppins" w:eastAsia="Poppins" w:hAnsi="Poppins"/>
          <w:color w:val="b7c3a1"/>
          <w:rtl w:val="0"/>
        </w:rPr>
        <w:t xml:space="preserve">Nigeria</w:t>
      </w:r>
    </w:p>
    <w:p w:rsidR="00000000" w:rsidDel="00000000" w:rsidP="00000000" w:rsidRDefault="00000000" w:rsidRPr="00000000" w14:paraId="00000192">
      <w:pPr>
        <w:spacing w:after="40" w:before="40" w:lineRule="auto"/>
        <w:jc w:val="both"/>
        <w:rPr>
          <w:rFonts w:ascii="Poppins" w:cs="Poppins" w:eastAsia="Poppins" w:hAnsi="Poppins"/>
          <w:b w:val="1"/>
          <w:bCs w:val="1"/>
          <w:color w:val="000000"/>
        </w:rPr>
      </w:pPr>
      <w:bookmarkStart w:colFirst="0" w:colLast="0" w:name="_heading=h.qy3vfigsny5k" w:id="38"/>
      <w:bookmarkEnd w:id="38"/>
      <w:r w:rsidDel="00000000" w:rsidR="00000000" w:rsidRPr="00000000">
        <w:rPr>
          <w:rFonts w:ascii="Poppins" w:cs="Poppins" w:eastAsia="Poppins" w:hAnsi="Poppins"/>
          <w:b w:val="1"/>
          <w:bCs w:val="1"/>
          <w:color w:val="000000"/>
          <w:rtl w:val="0"/>
        </w:rPr>
        <w:t xml:space="preserve">Regiune: </w:t>
      </w:r>
      <w:r w:rsidDel="00000000" w:rsidR="00000000" w:rsidRPr="00000000">
        <w:rPr>
          <w:rFonts w:ascii="Poppins" w:cs="Poppins" w:eastAsia="Poppins" w:hAnsi="Poppins"/>
          <w:color w:val="000000"/>
          <w:rtl w:val="0"/>
        </w:rPr>
        <w:t xml:space="preserve">Africa Subsahariană</w:t>
      </w:r>
      <w:r w:rsidDel="00000000" w:rsidR="00000000" w:rsidRPr="00000000">
        <w:rPr>
          <w:rtl w:val="0"/>
        </w:rPr>
      </w:r>
    </w:p>
    <w:p w:rsidR="00000000" w:rsidDel="00000000" w:rsidP="00000000" w:rsidRDefault="00000000" w:rsidRPr="00000000" w14:paraId="00000193">
      <w:pPr>
        <w:spacing w:after="40" w:before="40" w:lineRule="auto"/>
        <w:jc w:val="both"/>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Organizație/organizații coordonatoare:</w:t>
      </w:r>
      <w:r w:rsidDel="00000000" w:rsidR="00000000" w:rsidRPr="00000000">
        <w:rPr>
          <w:rFonts w:ascii="Poppins" w:cs="Poppins" w:eastAsia="Poppins" w:hAnsi="Poppins"/>
          <w:color w:val="000000"/>
          <w:rtl w:val="0"/>
        </w:rPr>
        <w:t xml:space="preserve"> System Strategy and Policy Lab (SSPL)</w:t>
      </w:r>
      <w:r w:rsidDel="00000000" w:rsidR="00000000" w:rsidRPr="00000000">
        <w:rPr>
          <w:rtl w:val="0"/>
        </w:rPr>
      </w:r>
    </w:p>
    <w:p w:rsidR="00000000" w:rsidDel="00000000" w:rsidP="00000000" w:rsidRDefault="00000000" w:rsidRPr="00000000" w14:paraId="00000194">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Cadru de politici publice: </w:t>
      </w:r>
      <w:r w:rsidDel="00000000" w:rsidR="00000000" w:rsidRPr="00000000">
        <w:rPr>
          <w:rFonts w:ascii="Poppins" w:cs="Poppins" w:eastAsia="Poppins" w:hAnsi="Poppins"/>
          <w:color w:val="000000"/>
          <w:rtl w:val="0"/>
        </w:rPr>
        <w:t xml:space="preserve">Constituția din 1999; Politica Națională pentru Tineret (2019); Not Too Young To Run Act (2018); Legea Comisiei pentru Dezvoltarea Tinerilor din statul Kogi (2019)</w:t>
      </w:r>
    </w:p>
    <w:p w:rsidR="00000000" w:rsidDel="00000000" w:rsidP="00000000" w:rsidRDefault="00000000" w:rsidRPr="00000000" w14:paraId="00000195">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color w:val="000000"/>
          <w:rtl w:val="0"/>
        </w:rPr>
        <w:t xml:space="preserve">Puncte forte-cheie: Arhitectură formală extinsă; societate civilă vibrantă, inclusiv Follow the Money; asociații pe grupe de vârstă ca mecanism rural cel mai accesibil; sistem tradițional de leadership al tinerilor Sarkin Samari.</w:t>
      </w:r>
    </w:p>
    <w:p w:rsidR="00000000" w:rsidDel="00000000" w:rsidP="00000000" w:rsidRDefault="00000000" w:rsidRPr="00000000" w14:paraId="00000196">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Lacune-cheie:</w:t>
      </w:r>
      <w:r w:rsidDel="00000000" w:rsidR="00000000" w:rsidRPr="00000000">
        <w:rPr>
          <w:rFonts w:ascii="Poppins" w:cs="Poppins" w:eastAsia="Poppins" w:hAnsi="Poppins"/>
          <w:color w:val="000000"/>
          <w:rtl w:val="0"/>
        </w:rPr>
        <w:t xml:space="preserve"> Subfinanțare cronică sub un procent din bugetele statelor; structuri formale centrate pe capitale; control de acces bazat pe patronaj; eșecuri de guvernanță ale NYCN care subminează credibilitatea organismului reprezentativ.</w:t>
      </w:r>
    </w:p>
    <w:p w:rsidR="00000000" w:rsidDel="00000000" w:rsidP="00000000" w:rsidRDefault="00000000" w:rsidRPr="00000000" w14:paraId="00000197">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Bune practici: </w:t>
      </w:r>
      <w:r w:rsidDel="00000000" w:rsidR="00000000" w:rsidRPr="00000000">
        <w:rPr>
          <w:rFonts w:ascii="Poppins" w:cs="Poppins" w:eastAsia="Poppins" w:hAnsi="Poppins"/>
          <w:color w:val="000000"/>
          <w:rtl w:val="0"/>
        </w:rPr>
        <w:t xml:space="preserve">Parlamentul Tinerilor din statul Gombe; modelul de responsabilizare Follow the Money; asociații pe grupe de vârstă; Parlamentele Copiilor UNICEF; Forumul Șefilor Tradiționali ai Tinerilor Sarkin Samari.</w:t>
      </w:r>
    </w:p>
    <w:p w:rsidR="00000000" w:rsidDel="00000000" w:rsidP="00000000" w:rsidRDefault="00000000" w:rsidRPr="00000000" w14:paraId="00000198">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Metodologia Sarcinii 2.2:</w:t>
      </w:r>
      <w:r w:rsidDel="00000000" w:rsidR="00000000" w:rsidRPr="00000000">
        <w:rPr>
          <w:rFonts w:ascii="Poppins" w:cs="Poppins" w:eastAsia="Poppins" w:hAnsi="Poppins"/>
          <w:color w:val="000000"/>
          <w:rtl w:val="0"/>
        </w:rPr>
        <w:t xml:space="preserve"> Validare structurată cu un factor de decizie, un lider comunitar și un reprezentant al tinerilor. Decalaj critic de percepție documentat. Confortul tinerilor în spații formale evaluat la doi-trei din zece.</w:t>
      </w:r>
    </w:p>
    <w:p w:rsidR="00000000" w:rsidDel="00000000" w:rsidP="00000000" w:rsidRDefault="00000000" w:rsidRPr="00000000" w14:paraId="00000199">
      <w:pPr>
        <w:spacing w:after="40" w:before="40" w:lineRule="auto"/>
        <w:rPr>
          <w:rFonts w:ascii="Poppins" w:cs="Poppins" w:eastAsia="Poppins" w:hAnsi="Poppins"/>
          <w:color w:val="000000"/>
        </w:rPr>
      </w:pPr>
      <w:r w:rsidDel="00000000" w:rsidR="00000000" w:rsidRPr="00000000">
        <w:rPr>
          <w:rtl w:val="0"/>
        </w:rPr>
      </w:r>
    </w:p>
    <w:p w:rsidR="00000000" w:rsidDel="00000000" w:rsidP="00000000" w:rsidRDefault="00000000" w:rsidRPr="00000000" w14:paraId="0000019A">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Grecia</w:t>
      </w:r>
    </w:p>
    <w:p w:rsidR="00000000" w:rsidDel="00000000" w:rsidP="00000000" w:rsidRDefault="00000000" w:rsidRPr="00000000" w14:paraId="0000019B">
      <w:pPr>
        <w:spacing w:after="40" w:before="40" w:lineRule="auto"/>
        <w:rPr>
          <w:rFonts w:ascii="Poppins" w:cs="Poppins" w:eastAsia="Poppins" w:hAnsi="Poppins"/>
          <w:b w:val="1"/>
          <w:bCs w:val="1"/>
          <w:color w:val="000000"/>
        </w:rPr>
      </w:pPr>
      <w:bookmarkStart w:colFirst="0" w:colLast="0" w:name="_heading=h.bgs06goiamlp" w:id="39"/>
      <w:bookmarkEnd w:id="39"/>
      <w:r w:rsidDel="00000000" w:rsidR="00000000" w:rsidRPr="00000000">
        <w:rPr>
          <w:rFonts w:ascii="Poppins" w:cs="Poppins" w:eastAsia="Poppins" w:hAnsi="Poppins"/>
          <w:b w:val="1"/>
          <w:bCs w:val="1"/>
          <w:color w:val="000000"/>
          <w:rtl w:val="0"/>
        </w:rPr>
        <w:t xml:space="preserve">Regiune: </w:t>
      </w:r>
      <w:r w:rsidDel="00000000" w:rsidR="00000000" w:rsidRPr="00000000">
        <w:rPr>
          <w:rFonts w:ascii="Poppins" w:cs="Poppins" w:eastAsia="Poppins" w:hAnsi="Poppins"/>
          <w:color w:val="000000"/>
          <w:rtl w:val="0"/>
        </w:rPr>
        <w:t xml:space="preserve">Europa</w:t>
      </w:r>
      <w:r w:rsidDel="00000000" w:rsidR="00000000" w:rsidRPr="00000000">
        <w:rPr>
          <w:rtl w:val="0"/>
        </w:rPr>
      </w:r>
    </w:p>
    <w:p w:rsidR="00000000" w:rsidDel="00000000" w:rsidP="00000000" w:rsidRDefault="00000000" w:rsidRPr="00000000" w14:paraId="0000019C">
      <w:pPr>
        <w:spacing w:after="40" w:before="40" w:lineRule="auto"/>
        <w:jc w:val="both"/>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Organizație/organizații coordonatoare: </w:t>
      </w:r>
      <w:r w:rsidDel="00000000" w:rsidR="00000000" w:rsidRPr="00000000">
        <w:rPr>
          <w:rFonts w:ascii="Poppins" w:cs="Poppins" w:eastAsia="Poppins" w:hAnsi="Poppins"/>
          <w:color w:val="000000"/>
          <w:rtl w:val="0"/>
        </w:rPr>
        <w:t xml:space="preserve">Connectus</w:t>
      </w:r>
      <w:r w:rsidDel="00000000" w:rsidR="00000000" w:rsidRPr="00000000">
        <w:rPr>
          <w:rtl w:val="0"/>
        </w:rPr>
      </w:r>
    </w:p>
    <w:p w:rsidR="00000000" w:rsidDel="00000000" w:rsidP="00000000" w:rsidRDefault="00000000" w:rsidRPr="00000000" w14:paraId="0000019D">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Cadru de politici publice: </w:t>
      </w:r>
      <w:r w:rsidDel="00000000" w:rsidR="00000000" w:rsidRPr="00000000">
        <w:rPr>
          <w:rFonts w:ascii="Poppins" w:cs="Poppins" w:eastAsia="Poppins" w:hAnsi="Poppins"/>
          <w:color w:val="000000"/>
          <w:rtl w:val="0"/>
        </w:rPr>
        <w:t xml:space="preserve">Consiliul Național Elen al Tineretului (ESYN); Strategia Națională de Capacitare a Tinerilor „Youth 17-27”; Strategia UE pentru tineret 2019-2027</w:t>
      </w:r>
    </w:p>
    <w:p w:rsidR="00000000" w:rsidDel="00000000" w:rsidP="00000000" w:rsidRDefault="00000000" w:rsidRPr="00000000" w14:paraId="0000019E">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Puncte forte-cheie: </w:t>
      </w:r>
      <w:r w:rsidDel="00000000" w:rsidR="00000000" w:rsidRPr="00000000">
        <w:rPr>
          <w:rFonts w:ascii="Poppins" w:cs="Poppins" w:eastAsia="Poppins" w:hAnsi="Poppins"/>
          <w:color w:val="000000"/>
          <w:rtl w:val="0"/>
        </w:rPr>
        <w:t xml:space="preserve">Ecosistem de participare divers și dezvoltat formal; ESYN ca platformă națională eficientă; acces puternic la finanțare UE; experiență documentată privind Consiliile Municipale ale Tinerilor.</w:t>
      </w:r>
    </w:p>
    <w:p w:rsidR="00000000" w:rsidDel="00000000" w:rsidP="00000000" w:rsidRDefault="00000000" w:rsidRPr="00000000" w14:paraId="0000019F">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Lacune-cheie: </w:t>
      </w:r>
      <w:r w:rsidDel="00000000" w:rsidR="00000000" w:rsidRPr="00000000">
        <w:rPr>
          <w:rFonts w:ascii="Poppins" w:cs="Poppins" w:eastAsia="Poppins" w:hAnsi="Poppins"/>
          <w:color w:val="000000"/>
          <w:rtl w:val="0"/>
        </w:rPr>
        <w:t xml:space="preserve">Concentrare urbană a oportunităților de participare; Consilii Municipale ale Tinerilor inconsistente în municipalitățile rurale; dependență de finanțarea pe bază de proiecte, care creează fragilitate structurală.</w:t>
      </w:r>
    </w:p>
    <w:p w:rsidR="00000000" w:rsidDel="00000000" w:rsidP="00000000" w:rsidRDefault="00000000" w:rsidRPr="00000000" w14:paraId="000001A0">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Bune practici: </w:t>
      </w:r>
      <w:r w:rsidDel="00000000" w:rsidR="00000000" w:rsidRPr="00000000">
        <w:rPr>
          <w:rFonts w:ascii="Poppins" w:cs="Poppins" w:eastAsia="Poppins" w:hAnsi="Poppins"/>
          <w:color w:val="000000"/>
          <w:rtl w:val="0"/>
        </w:rPr>
        <w:t xml:space="preserve">Consiliul Municipal al Tinerilor din Larissa; proiectul de dezvoltare rurală Share SIRA în Karditsa; implicare pentru sustenabilitate Ecogenia; acțiune comunitară Save Your Hood.</w:t>
      </w:r>
    </w:p>
    <w:p w:rsidR="00000000" w:rsidDel="00000000" w:rsidP="00000000" w:rsidRDefault="00000000" w:rsidRPr="00000000" w14:paraId="000001A1">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Metodologia Sarcinii 2.2: </w:t>
      </w:r>
      <w:r w:rsidDel="00000000" w:rsidR="00000000" w:rsidRPr="00000000">
        <w:rPr>
          <w:rFonts w:ascii="Poppins" w:cs="Poppins" w:eastAsia="Poppins" w:hAnsi="Poppins"/>
          <w:color w:val="000000"/>
          <w:rtl w:val="0"/>
        </w:rPr>
        <w:t xml:space="preserve">Cercetare documentară; adecvată rolului Greciei ca țară de referință.</w:t>
      </w:r>
    </w:p>
    <w:p w:rsidR="00000000" w:rsidDel="00000000" w:rsidP="00000000" w:rsidRDefault="00000000" w:rsidRPr="00000000" w14:paraId="000001A2">
      <w:pPr>
        <w:spacing w:after="40" w:before="40" w:lineRule="auto"/>
        <w:jc w:val="both"/>
        <w:rPr>
          <w:rFonts w:ascii="Poppins" w:cs="Poppins" w:eastAsia="Poppins" w:hAnsi="Poppins"/>
          <w:color w:val="000000"/>
        </w:rPr>
      </w:pPr>
      <w:r w:rsidDel="00000000" w:rsidR="00000000" w:rsidRPr="00000000">
        <w:rPr>
          <w:rtl w:val="0"/>
        </w:rPr>
      </w:r>
    </w:p>
    <w:p w:rsidR="00000000" w:rsidDel="00000000" w:rsidP="00000000" w:rsidRDefault="00000000" w:rsidRPr="00000000" w14:paraId="000001A3">
      <w:pPr>
        <w:pStyle w:val="Heading2"/>
        <w:keepNext w:val="1"/>
        <w:spacing w:after="80" w:before="280" w:lineRule="auto"/>
        <w:jc w:val="both"/>
        <w:rPr>
          <w:rFonts w:ascii="Poppins" w:cs="Poppins" w:eastAsia="Poppins" w:hAnsi="Poppins"/>
          <w:color w:val="b7c3a1"/>
        </w:rPr>
      </w:pPr>
      <w:r w:rsidDel="00000000" w:rsidR="00000000" w:rsidRPr="00000000">
        <w:rPr>
          <w:rFonts w:ascii="Poppins" w:cs="Poppins" w:eastAsia="Poppins" w:hAnsi="Poppins"/>
          <w:color w:val="b7c3a1"/>
          <w:rtl w:val="0"/>
        </w:rPr>
        <w:t xml:space="preserve">Italia</w:t>
      </w:r>
    </w:p>
    <w:p w:rsidR="00000000" w:rsidDel="00000000" w:rsidP="00000000" w:rsidRDefault="00000000" w:rsidRPr="00000000" w14:paraId="000001A4">
      <w:pPr>
        <w:spacing w:after="40" w:before="40" w:lineRule="auto"/>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Regiune: </w:t>
      </w:r>
      <w:r w:rsidDel="00000000" w:rsidR="00000000" w:rsidRPr="00000000">
        <w:rPr>
          <w:rFonts w:ascii="Poppins" w:cs="Poppins" w:eastAsia="Poppins" w:hAnsi="Poppins"/>
          <w:rtl w:val="0"/>
        </w:rPr>
        <w:t xml:space="preserve">Europa</w:t>
      </w:r>
      <w:r w:rsidDel="00000000" w:rsidR="00000000" w:rsidRPr="00000000">
        <w:rPr>
          <w:rtl w:val="0"/>
        </w:rPr>
      </w:r>
    </w:p>
    <w:p w:rsidR="00000000" w:rsidDel="00000000" w:rsidP="00000000" w:rsidRDefault="00000000" w:rsidRPr="00000000" w14:paraId="000001A5">
      <w:pPr>
        <w:spacing w:after="40" w:before="40" w:lineRule="auto"/>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Organizație/organizații coordonatoare:</w:t>
      </w:r>
      <w:r w:rsidDel="00000000" w:rsidR="00000000" w:rsidRPr="00000000">
        <w:rPr>
          <w:rFonts w:ascii="Poppins" w:cs="Poppins" w:eastAsia="Poppins" w:hAnsi="Poppins"/>
          <w:rtl w:val="0"/>
        </w:rPr>
        <w:t xml:space="preserve"> A Rocca</w:t>
      </w:r>
      <w:r w:rsidDel="00000000" w:rsidR="00000000" w:rsidRPr="00000000">
        <w:rPr>
          <w:rtl w:val="0"/>
        </w:rPr>
      </w:r>
    </w:p>
    <w:p w:rsidR="00000000" w:rsidDel="00000000" w:rsidP="00000000" w:rsidRDefault="00000000" w:rsidRPr="00000000" w14:paraId="000001A6">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Cadru de politici publice: </w:t>
      </w:r>
      <w:r w:rsidDel="00000000" w:rsidR="00000000" w:rsidRPr="00000000">
        <w:rPr>
          <w:rFonts w:ascii="Poppins" w:cs="Poppins" w:eastAsia="Poppins" w:hAnsi="Poppins"/>
          <w:rtl w:val="0"/>
        </w:rPr>
        <w:t xml:space="preserve">Legea 145/2018 (CNG); SNAI Strategia Națională pentru Zonele Interne; PNRR; Legea 36/2024 privind agricultura pentru tineri; legislație regională pentru tineret</w:t>
      </w:r>
    </w:p>
    <w:p w:rsidR="00000000" w:rsidDel="00000000" w:rsidP="00000000" w:rsidRDefault="00000000" w:rsidRPr="00000000" w14:paraId="000001A7">
      <w:pPr>
        <w:spacing w:after="40" w:before="40" w:lineRule="auto"/>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Puncte forte-cheie: </w:t>
      </w:r>
      <w:r w:rsidDel="00000000" w:rsidR="00000000" w:rsidRPr="00000000">
        <w:rPr>
          <w:rFonts w:ascii="Poppins" w:cs="Poppins" w:eastAsia="Poppins" w:hAnsi="Poppins"/>
          <w:rtl w:val="0"/>
        </w:rPr>
        <w:t xml:space="preserve">Disponibilitate ridicată a resurselor PNRR; Grupuri Locale de Sprijin YEPP Italia în peste cincizeci de municipalități; platforma susținută de internaționalizare a A Rocca în Sicilia; societate civilă puternică; granturi nerambursabile Resto al Sud care sprijină peste trei mii de tineri antreprenori sicilieni.</w:t>
      </w:r>
      <w:r w:rsidDel="00000000" w:rsidR="00000000" w:rsidRPr="00000000">
        <w:rPr>
          <w:rtl w:val="0"/>
        </w:rPr>
      </w:r>
    </w:p>
    <w:p w:rsidR="00000000" w:rsidDel="00000000" w:rsidP="00000000" w:rsidRDefault="00000000" w:rsidRPr="00000000" w14:paraId="000001A8">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Lacune-cheie: </w:t>
      </w:r>
      <w:r w:rsidDel="00000000" w:rsidR="00000000" w:rsidRPr="00000000">
        <w:rPr>
          <w:rFonts w:ascii="Poppins" w:cs="Poppins" w:eastAsia="Poppins" w:hAnsi="Poppins"/>
          <w:rtl w:val="0"/>
        </w:rPr>
        <w:t xml:space="preserve">Rată a șomajului în rândul tinerilor de cincizeci și trei virgulă șase la sută în Sicilia; absența unei strategii naționale unitare pentru tineret; fragmentare instituțională; implementare limitată a cadrelor regionale în municipalitățile rurale.</w:t>
      </w:r>
    </w:p>
    <w:p w:rsidR="00000000" w:rsidDel="00000000" w:rsidP="00000000" w:rsidRDefault="00000000" w:rsidRPr="00000000" w14:paraId="000001A9">
      <w:pPr>
        <w:spacing w:after="40" w:before="40" w:lineRule="auto"/>
        <w:rPr>
          <w:rFonts w:ascii="Poppins" w:cs="Poppins" w:eastAsia="Poppins" w:hAnsi="Poppins"/>
        </w:rPr>
      </w:pPr>
      <w:r w:rsidDel="00000000" w:rsidR="00000000" w:rsidRPr="00000000">
        <w:rPr>
          <w:rFonts w:ascii="Poppins" w:cs="Poppins" w:eastAsia="Poppins" w:hAnsi="Poppins"/>
          <w:b w:val="1"/>
          <w:bCs w:val="1"/>
          <w:rtl w:val="0"/>
        </w:rPr>
        <w:t xml:space="preserve">Bune practici: </w:t>
      </w:r>
      <w:r w:rsidDel="00000000" w:rsidR="00000000" w:rsidRPr="00000000">
        <w:rPr>
          <w:rFonts w:ascii="Poppins" w:cs="Poppins" w:eastAsia="Poppins" w:hAnsi="Poppins"/>
          <w:rtl w:val="0"/>
        </w:rPr>
        <w:t xml:space="preserve">Grupuri Locale de Sprijin YEPP Italia; hub ESC A Rocca; revitalizare Borghi prin PNRR; granturi pentru întreprinderi Resto al Sud.</w:t>
      </w:r>
    </w:p>
    <w:p w:rsidR="00000000" w:rsidDel="00000000" w:rsidP="00000000" w:rsidRDefault="00000000" w:rsidRPr="00000000" w14:paraId="000001AA">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Metodologia Sarcinii 2.2: </w:t>
      </w:r>
      <w:r w:rsidDel="00000000" w:rsidR="00000000" w:rsidRPr="00000000">
        <w:rPr>
          <w:rFonts w:ascii="Poppins" w:cs="Poppins" w:eastAsia="Poppins" w:hAnsi="Poppins"/>
          <w:rtl w:val="0"/>
        </w:rPr>
        <w:t xml:space="preserve">Focus-grupuri cu tineri și lucrători de tineret; preferința pentru instrumentele bazate pe proiecte documentată; disparități teritoriale și bucle slabe de feedback confirmate.</w:t>
      </w:r>
    </w:p>
    <w:p w:rsidR="00000000" w:rsidDel="00000000" w:rsidP="00000000" w:rsidRDefault="00000000" w:rsidRPr="00000000" w14:paraId="000001AB">
      <w:pPr>
        <w:spacing w:after="40" w:before="4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1AC">
      <w:pPr>
        <w:pStyle w:val="Heading2"/>
        <w:keepNext w:val="1"/>
        <w:spacing w:after="80" w:before="280" w:lineRule="auto"/>
        <w:jc w:val="both"/>
        <w:rPr>
          <w:rFonts w:ascii="Poppins" w:cs="Poppins" w:eastAsia="Poppins" w:hAnsi="Poppins"/>
          <w:color w:val="b7c3a1"/>
        </w:rPr>
      </w:pPr>
      <w:bookmarkStart w:colFirst="0" w:colLast="0" w:name="_heading=h.4go5imxw3ra" w:id="40"/>
      <w:bookmarkEnd w:id="40"/>
      <w:r w:rsidDel="00000000" w:rsidR="00000000" w:rsidRPr="00000000">
        <w:rPr>
          <w:rFonts w:ascii="Poppins" w:cs="Poppins" w:eastAsia="Poppins" w:hAnsi="Poppins"/>
          <w:color w:val="b7c3a1"/>
          <w:rtl w:val="0"/>
        </w:rPr>
        <w:t xml:space="preserve">Romania</w:t>
      </w:r>
    </w:p>
    <w:p w:rsidR="00000000" w:rsidDel="00000000" w:rsidP="00000000" w:rsidRDefault="00000000" w:rsidRPr="00000000" w14:paraId="000001AD">
      <w:pPr>
        <w:spacing w:after="40" w:before="40" w:lineRule="auto"/>
        <w:jc w:val="both"/>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Regiune: </w:t>
      </w:r>
      <w:r w:rsidDel="00000000" w:rsidR="00000000" w:rsidRPr="00000000">
        <w:rPr>
          <w:rFonts w:ascii="Poppins" w:cs="Poppins" w:eastAsia="Poppins" w:hAnsi="Poppins"/>
          <w:color w:val="000000"/>
          <w:rtl w:val="0"/>
        </w:rPr>
        <w:t xml:space="preserve">Europa</w:t>
      </w:r>
      <w:r w:rsidDel="00000000" w:rsidR="00000000" w:rsidRPr="00000000">
        <w:rPr>
          <w:rtl w:val="0"/>
        </w:rPr>
      </w:r>
    </w:p>
    <w:p w:rsidR="00000000" w:rsidDel="00000000" w:rsidP="00000000" w:rsidRDefault="00000000" w:rsidRPr="00000000" w14:paraId="000001AE">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Organizație/organizații coordonatoare:</w:t>
      </w:r>
      <w:r w:rsidDel="00000000" w:rsidR="00000000" w:rsidRPr="00000000">
        <w:rPr>
          <w:rFonts w:ascii="Poppins" w:cs="Poppins" w:eastAsia="Poppins" w:hAnsi="Poppins"/>
          <w:color w:val="000000"/>
          <w:rtl w:val="0"/>
        </w:rPr>
        <w:t xml:space="preserve"> GAL Napoca Porolissum</w:t>
      </w:r>
    </w:p>
    <w:p w:rsidR="00000000" w:rsidDel="00000000" w:rsidP="00000000" w:rsidRDefault="00000000" w:rsidRPr="00000000" w14:paraId="000001AF">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Cadru de politici publice: </w:t>
      </w:r>
      <w:r w:rsidDel="00000000" w:rsidR="00000000" w:rsidRPr="00000000">
        <w:rPr>
          <w:rFonts w:ascii="Poppins" w:cs="Poppins" w:eastAsia="Poppins" w:hAnsi="Poppins"/>
          <w:color w:val="000000"/>
          <w:rtl w:val="0"/>
        </w:rPr>
        <w:t xml:space="preserve">Legea tinerilor 350/2006; Legea 52/2003; Strategia Națională pentru Tineret 2024-2027; Hotărârea Guvernului 197/2022</w:t>
      </w:r>
    </w:p>
    <w:p w:rsidR="00000000" w:rsidDel="00000000" w:rsidP="00000000" w:rsidRDefault="00000000" w:rsidRPr="00000000" w14:paraId="000001B0">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Puncte forte-cheie: </w:t>
      </w:r>
      <w:r w:rsidDel="00000000" w:rsidR="00000000" w:rsidRPr="00000000">
        <w:rPr>
          <w:rFonts w:ascii="Poppins" w:cs="Poppins" w:eastAsia="Poppins" w:hAnsi="Poppins"/>
          <w:color w:val="000000"/>
          <w:rtl w:val="0"/>
        </w:rPr>
        <w:t xml:space="preserve">Model de Parlament al Tinerilor Rurali bazat pe GAL, complet documentat și testat; cadru juridic clar și favorabil, cu prevederi explicite pentru tinerii din mediul rural; guvernanța LEADER ca infrastructură de participare; capacitate de mediere prin federația ONG.</w:t>
      </w:r>
    </w:p>
    <w:p w:rsidR="00000000" w:rsidDel="00000000" w:rsidP="00000000" w:rsidRDefault="00000000" w:rsidRPr="00000000" w14:paraId="000001B1">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color w:val="000000"/>
          <w:rtl w:val="0"/>
        </w:rPr>
        <w:t xml:space="preserve">Lacune-cheie: Capacitate limitată de mediere rurală în teritoriile montane dispersate; bariere geografice și de transport; incertitudine a tranziției instituționale în urma înființării Direcțiilor Județene pentru Familie și Tineret.</w:t>
      </w:r>
    </w:p>
    <w:p w:rsidR="00000000" w:rsidDel="00000000" w:rsidP="00000000" w:rsidRDefault="00000000" w:rsidRPr="00000000" w14:paraId="000001B2">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Bune practici: </w:t>
      </w:r>
      <w:r w:rsidDel="00000000" w:rsidR="00000000" w:rsidRPr="00000000">
        <w:rPr>
          <w:rFonts w:ascii="Poppins" w:cs="Poppins" w:eastAsia="Poppins" w:hAnsi="Poppins"/>
          <w:color w:val="000000"/>
          <w:rtl w:val="0"/>
        </w:rPr>
        <w:t xml:space="preserve">Model de simulare a Parlamentului Tinerilor Rurali cu documentație metodologică completă; procese de integrare a consultării prin GAL; toolkit de metodologie participativă; servicii de mediere prin federația ONG.</w:t>
      </w:r>
    </w:p>
    <w:p w:rsidR="00000000" w:rsidDel="00000000" w:rsidP="00000000" w:rsidRDefault="00000000" w:rsidRPr="00000000" w14:paraId="000001B3">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Metodologia Sarcinii 2.2: </w:t>
      </w:r>
      <w:r w:rsidDel="00000000" w:rsidR="00000000" w:rsidRPr="00000000">
        <w:rPr>
          <w:rFonts w:ascii="Poppins" w:cs="Poppins" w:eastAsia="Poppins" w:hAnsi="Poppins"/>
          <w:color w:val="000000"/>
          <w:rtl w:val="0"/>
        </w:rPr>
        <w:t xml:space="preserve">Cercetare documentară cu cartografiere a guvernanței pe mai multe niveluri în teritoriul GAL Napoca Porolissum. RYP documentat ca cel mai direct transferabil model european.</w:t>
      </w:r>
    </w:p>
    <w:p w:rsidR="00000000" w:rsidDel="00000000" w:rsidP="00000000" w:rsidRDefault="00000000" w:rsidRPr="00000000" w14:paraId="000001B4">
      <w:pPr>
        <w:spacing w:after="40" w:before="40" w:lineRule="auto"/>
        <w:rPr>
          <w:rFonts w:ascii="Poppins" w:cs="Poppins" w:eastAsia="Poppins" w:hAnsi="Poppins"/>
        </w:rPr>
      </w:pPr>
      <w:r w:rsidDel="00000000" w:rsidR="00000000" w:rsidRPr="00000000">
        <w:rPr>
          <w:rtl w:val="0"/>
        </w:rPr>
      </w:r>
    </w:p>
    <w:p w:rsidR="00000000" w:rsidDel="00000000" w:rsidP="00000000" w:rsidRDefault="00000000" w:rsidRPr="00000000" w14:paraId="000001B5">
      <w:pPr>
        <w:pStyle w:val="Heading1"/>
        <w:keepNext w:val="1"/>
        <w:spacing w:after="120" w:before="360" w:lineRule="auto"/>
        <w:rPr>
          <w:rFonts w:ascii="Poppins" w:cs="Poppins" w:eastAsia="Poppins" w:hAnsi="Poppins"/>
          <w:color w:val="2f6b3a"/>
        </w:rPr>
      </w:pPr>
      <w:bookmarkStart w:colFirst="0" w:colLast="0" w:name="_heading=h.mhm8nb5l3ayu" w:id="41"/>
      <w:bookmarkEnd w:id="41"/>
      <w:r w:rsidDel="00000000" w:rsidR="00000000" w:rsidRPr="00000000">
        <w:rPr>
          <w:rFonts w:ascii="Poppins" w:cs="Poppins" w:eastAsia="Poppins" w:hAnsi="Poppins"/>
          <w:color w:val="2f6b3a"/>
          <w:rtl w:val="0"/>
        </w:rPr>
        <w:t xml:space="preserve">Anexa B: Glosar de termeni-cheie și abrevieri</w:t>
      </w:r>
    </w:p>
    <w:p w:rsidR="00000000" w:rsidDel="00000000" w:rsidP="00000000" w:rsidRDefault="00000000" w:rsidRPr="00000000" w14:paraId="000001B6">
      <w:pPr>
        <w:spacing w:after="40" w:before="40" w:lineRule="auto"/>
        <w:jc w:val="both"/>
        <w:rPr>
          <w:rFonts w:ascii="Poppins" w:cs="Poppins" w:eastAsia="Poppins" w:hAnsi="Poppins"/>
          <w:color w:val="1a1a1a"/>
        </w:rPr>
      </w:pPr>
      <w:r w:rsidDel="00000000" w:rsidR="00000000" w:rsidRPr="00000000">
        <w:rPr>
          <w:rFonts w:ascii="Poppins" w:cs="Poppins" w:eastAsia="Poppins" w:hAnsi="Poppins"/>
          <w:b w:val="1"/>
          <w:bCs w:val="1"/>
          <w:color w:val="2f6b3a"/>
          <w:rtl w:val="0"/>
        </w:rPr>
        <w:t xml:space="preserve">Andrimasompokonolona: </w:t>
      </w:r>
      <w:r w:rsidDel="00000000" w:rsidR="00000000" w:rsidRPr="00000000">
        <w:rPr>
          <w:rFonts w:ascii="Poppins" w:cs="Poppins" w:eastAsia="Poppins" w:hAnsi="Poppins"/>
          <w:color w:val="1a1a1a"/>
          <w:rtl w:val="0"/>
        </w:rPr>
        <w:t xml:space="preserve">Sistem tradițional de pază comunitară din Madagascar, în care tinerii bărbați își asumă responsabilități structurate pentru securitatea și ordinea satului, reprezentând un rol civic recunoscut cultural pentru tinerii din mediul rural.</w:t>
      </w:r>
    </w:p>
    <w:p w:rsidR="00000000" w:rsidDel="00000000" w:rsidP="00000000" w:rsidRDefault="00000000" w:rsidRPr="00000000" w14:paraId="000001B7">
      <w:pPr>
        <w:spacing w:after="40" w:before="40" w:lineRule="auto"/>
        <w:jc w:val="both"/>
        <w:rPr>
          <w:rFonts w:ascii="Poppins" w:cs="Poppins" w:eastAsia="Poppins" w:hAnsi="Poppins"/>
          <w:color w:val="1a1a1a"/>
        </w:rPr>
      </w:pPr>
      <w:r w:rsidDel="00000000" w:rsidR="00000000" w:rsidRPr="00000000">
        <w:rPr>
          <w:rFonts w:ascii="Poppins" w:cs="Poppins" w:eastAsia="Poppins" w:hAnsi="Poppins"/>
          <w:b w:val="1"/>
          <w:bCs w:val="1"/>
          <w:color w:val="2f6b3a"/>
          <w:rtl w:val="0"/>
        </w:rPr>
        <w:t xml:space="preserve">CDA: </w:t>
      </w:r>
      <w:r w:rsidDel="00000000" w:rsidR="00000000" w:rsidRPr="00000000">
        <w:rPr>
          <w:rFonts w:ascii="Poppins" w:cs="Poppins" w:eastAsia="Poppins" w:hAnsi="Poppins"/>
          <w:color w:val="1a1a1a"/>
          <w:rtl w:val="0"/>
        </w:rPr>
        <w:t xml:space="preserve">Community Development Association (Nigeria): Organizație la nivel comunitar care oferă principala interfață a societății civile pentru planificarea dezvoltării rurale și guvernanța comunitară în multe LGA-uri din Nigeria.</w:t>
      </w:r>
    </w:p>
    <w:p w:rsidR="00000000" w:rsidDel="00000000" w:rsidP="00000000" w:rsidRDefault="00000000" w:rsidRPr="00000000" w14:paraId="000001B8">
      <w:pPr>
        <w:spacing w:after="40" w:before="40" w:lineRule="auto"/>
        <w:jc w:val="both"/>
        <w:rPr>
          <w:rFonts w:ascii="Poppins" w:cs="Poppins" w:eastAsia="Poppins" w:hAnsi="Poppins"/>
          <w:color w:val="1a1a1a"/>
        </w:rPr>
      </w:pPr>
      <w:r w:rsidDel="00000000" w:rsidR="00000000" w:rsidRPr="00000000">
        <w:rPr>
          <w:rFonts w:ascii="Poppins" w:cs="Poppins" w:eastAsia="Poppins" w:hAnsi="Poppins"/>
          <w:b w:val="1"/>
          <w:bCs w:val="1"/>
          <w:color w:val="2f6b3a"/>
          <w:rtl w:val="0"/>
        </w:rPr>
        <w:t xml:space="preserve">CNG: </w:t>
      </w:r>
      <w:r w:rsidDel="00000000" w:rsidR="00000000" w:rsidRPr="00000000">
        <w:rPr>
          <w:rFonts w:ascii="Poppins" w:cs="Poppins" w:eastAsia="Poppins" w:hAnsi="Poppins"/>
          <w:color w:val="1a1a1a"/>
          <w:rtl w:val="0"/>
        </w:rPr>
        <w:t xml:space="preserve">Consiglio Nazionale dei Giovani: Consiliul Național al Tinerilor din Italia, înființat prin Legea 145/2018 ca organism consultativ formal pentru probleme de tineret la nivelul guvernului național.</w:t>
      </w:r>
    </w:p>
    <w:p w:rsidR="00000000" w:rsidDel="00000000" w:rsidP="00000000" w:rsidRDefault="00000000" w:rsidRPr="00000000" w14:paraId="000001B9">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CPA:</w:t>
      </w:r>
      <w:r w:rsidDel="00000000" w:rsidR="00000000" w:rsidRPr="00000000">
        <w:rPr>
          <w:rFonts w:ascii="Poppins" w:cs="Poppins" w:eastAsia="Poppins" w:hAnsi="Poppins"/>
          <w:rtl w:val="0"/>
        </w:rPr>
        <w:t xml:space="preserve"> Commonwealth Parliamentary Association: Organizație interguvernamentală al cărei Youth Parliament Toolkit oferă o resursă utilizată pe scară largă pentru proiectarea programelor de simulare parlamentară.</w:t>
      </w:r>
    </w:p>
    <w:p w:rsidR="00000000" w:rsidDel="00000000" w:rsidP="00000000" w:rsidRDefault="00000000" w:rsidRPr="00000000" w14:paraId="000001BA">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EACEA: </w:t>
      </w:r>
      <w:r w:rsidDel="00000000" w:rsidR="00000000" w:rsidRPr="00000000">
        <w:rPr>
          <w:rFonts w:ascii="Poppins" w:cs="Poppins" w:eastAsia="Poppins" w:hAnsi="Poppins"/>
          <w:rtl w:val="0"/>
        </w:rPr>
        <w:t xml:space="preserve">European Education and Culture Executive Agency: Agenția UE responsabilă de gestionarea programelor Erasmus+ și Corpul European de Solidaritate, inclusiv grantul EMPOWER+.</w:t>
      </w:r>
    </w:p>
    <w:p w:rsidR="00000000" w:rsidDel="00000000" w:rsidP="00000000" w:rsidRDefault="00000000" w:rsidRPr="00000000" w14:paraId="000001BB">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EMPOWER+: </w:t>
      </w:r>
      <w:r w:rsidDel="00000000" w:rsidR="00000000" w:rsidRPr="00000000">
        <w:rPr>
          <w:rFonts w:ascii="Poppins" w:cs="Poppins" w:eastAsia="Poppins" w:hAnsi="Poppins"/>
          <w:rtl w:val="0"/>
        </w:rPr>
        <w:t xml:space="preserve">Empowering Rural Youth: Establishing and Strengthening the Rural Youth Parliament in Sub-Saharan Africa (ERASMUS-YOUTH-2025-CB-SSA, nr. proiect 101243075).</w:t>
      </w:r>
    </w:p>
    <w:p w:rsidR="00000000" w:rsidDel="00000000" w:rsidP="00000000" w:rsidRDefault="00000000" w:rsidRPr="00000000" w14:paraId="000001BC">
      <w:pPr>
        <w:jc w:val="both"/>
        <w:rPr>
          <w:rFonts w:ascii="Poppins" w:cs="Poppins" w:eastAsia="Poppins" w:hAnsi="Poppins"/>
        </w:rPr>
      </w:pPr>
      <w:r w:rsidDel="00000000" w:rsidR="00000000" w:rsidRPr="00000000">
        <w:rPr>
          <w:rFonts w:ascii="Poppins" w:cs="Poppins" w:eastAsia="Poppins" w:hAnsi="Poppins"/>
          <w:rtl w:val="0"/>
        </w:rPr>
        <w:t xml:space="preserve">ESC: Corpul European de Solidaritate: Programul UE care sprijină activități voluntare și profesionale de solidaritate pentru tinerii europeni, complementar Erasmus+.</w:t>
      </w:r>
    </w:p>
    <w:p w:rsidR="00000000" w:rsidDel="00000000" w:rsidP="00000000" w:rsidRDefault="00000000" w:rsidRPr="00000000" w14:paraId="000001BD">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ESYN:</w:t>
      </w:r>
      <w:r w:rsidDel="00000000" w:rsidR="00000000" w:rsidRPr="00000000">
        <w:rPr>
          <w:rFonts w:ascii="Poppins" w:cs="Poppins" w:eastAsia="Poppins" w:hAnsi="Poppins"/>
          <w:rtl w:val="0"/>
        </w:rPr>
        <w:t xml:space="preserve"> Consiliul Național Elen al Tineretului: Principalul organism reprezentativ pentru organizațiile de tineret din Grecia la nivel național.</w:t>
      </w:r>
    </w:p>
    <w:p w:rsidR="00000000" w:rsidDel="00000000" w:rsidP="00000000" w:rsidRDefault="00000000" w:rsidRPr="00000000" w14:paraId="000001BE">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FGD: Focus Group Discussion: </w:t>
      </w:r>
      <w:r w:rsidDel="00000000" w:rsidR="00000000" w:rsidRPr="00000000">
        <w:rPr>
          <w:rFonts w:ascii="Poppins" w:cs="Poppins" w:eastAsia="Poppins" w:hAnsi="Poppins"/>
          <w:rtl w:val="0"/>
        </w:rPr>
        <w:t xml:space="preserve">Metodă de cercetare de grup structurată, utilizată în Botswana, Mauritius și Italia pentru a colecta perspectivele actorilor relevanți privind eficacitatea instrumentelor de participare.</w:t>
      </w:r>
    </w:p>
    <w:p w:rsidR="00000000" w:rsidDel="00000000" w:rsidP="00000000" w:rsidRDefault="00000000" w:rsidRPr="00000000" w14:paraId="000001BF">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IDEA: </w:t>
      </w:r>
      <w:r w:rsidDel="00000000" w:rsidR="00000000" w:rsidRPr="00000000">
        <w:rPr>
          <w:rFonts w:ascii="Poppins" w:cs="Poppins" w:eastAsia="Poppins" w:hAnsi="Poppins"/>
          <w:rtl w:val="0"/>
        </w:rPr>
        <w:t xml:space="preserve">International Institute for Democracy and Electoral Assistance: Organizație interguvernamentală care oferă sprijin pentru instituțiile de guvernanță democratică, inclusiv cadre parlamentare pentru tineret.</w:t>
      </w:r>
    </w:p>
    <w:p w:rsidR="00000000" w:rsidDel="00000000" w:rsidP="00000000" w:rsidRDefault="00000000" w:rsidRPr="00000000" w14:paraId="000001C0">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Kgotla: </w:t>
      </w:r>
      <w:r w:rsidDel="00000000" w:rsidR="00000000" w:rsidRPr="00000000">
        <w:rPr>
          <w:rFonts w:ascii="Poppins" w:cs="Poppins" w:eastAsia="Poppins" w:hAnsi="Poppins"/>
          <w:rtl w:val="0"/>
        </w:rPr>
        <w:t xml:space="preserve">Sistem tradițional de adunare comunitară din Botswana, convocat de Kgosi, liderul comunitar ereditar. Instituția centrală a culturii democratice din Botswana și cel mai accesibil spațiu de participare civică pentru tinerii din mediul rural.</w:t>
      </w:r>
    </w:p>
    <w:p w:rsidR="00000000" w:rsidDel="00000000" w:rsidP="00000000" w:rsidRDefault="00000000" w:rsidRPr="00000000" w14:paraId="000001C1">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LAG: Local Action Group: </w:t>
      </w:r>
      <w:r w:rsidDel="00000000" w:rsidR="00000000" w:rsidRPr="00000000">
        <w:rPr>
          <w:rFonts w:ascii="Poppins" w:cs="Poppins" w:eastAsia="Poppins" w:hAnsi="Poppins"/>
          <w:rtl w:val="0"/>
        </w:rPr>
        <w:t xml:space="preserve">Structura de guvernanță LEADER din România care gestionează programarea dezvoltării rurale la nivel de teritoriu. GAL Napoca Porolissum este coordonatorul proiectului EMPOWER+.</w:t>
      </w:r>
    </w:p>
    <w:p w:rsidR="00000000" w:rsidDel="00000000" w:rsidP="00000000" w:rsidRDefault="00000000" w:rsidRPr="00000000" w14:paraId="000001C2">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LEADER: </w:t>
      </w:r>
      <w:r w:rsidDel="00000000" w:rsidR="00000000" w:rsidRPr="00000000">
        <w:rPr>
          <w:rFonts w:ascii="Poppins" w:cs="Poppins" w:eastAsia="Poppins" w:hAnsi="Poppins"/>
          <w:rtl w:val="0"/>
        </w:rPr>
        <w:t xml:space="preserve">Liaison Entre Actions de Développement de l’Économie Rurale: Abordarea UE de dezvoltare rurală bazată pe dezvoltare locală plasată sub responsabilitatea comunității prin Grupuri de Acțiune Locală.</w:t>
      </w:r>
    </w:p>
    <w:p w:rsidR="00000000" w:rsidDel="00000000" w:rsidP="00000000" w:rsidRDefault="00000000" w:rsidRPr="00000000" w14:paraId="000001C3">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LGA: </w:t>
      </w:r>
      <w:r w:rsidDel="00000000" w:rsidR="00000000" w:rsidRPr="00000000">
        <w:rPr>
          <w:rFonts w:ascii="Poppins" w:cs="Poppins" w:eastAsia="Poppins" w:hAnsi="Poppins"/>
          <w:rtl w:val="0"/>
        </w:rPr>
        <w:t xml:space="preserve">Local Government Area: Unitatea administrativă locală principală din Nigeria, existând 774 la nivel național.</w:t>
      </w:r>
    </w:p>
    <w:p w:rsidR="00000000" w:rsidDel="00000000" w:rsidP="00000000" w:rsidRDefault="00000000" w:rsidRPr="00000000" w14:paraId="000001C4">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MFR: </w:t>
      </w:r>
      <w:r w:rsidDel="00000000" w:rsidR="00000000" w:rsidRPr="00000000">
        <w:rPr>
          <w:rFonts w:ascii="Poppins" w:cs="Poppins" w:eastAsia="Poppins" w:hAnsi="Poppins"/>
          <w:rtl w:val="0"/>
        </w:rPr>
        <w:t xml:space="preserve">Maisons Familiales Rurales: Centre rurale familiale de formare care oferă programe de educație profesională în alternanță în Mauritius și Franța, printre alte țări.</w:t>
      </w:r>
    </w:p>
    <w:p w:rsidR="00000000" w:rsidDel="00000000" w:rsidP="00000000" w:rsidRDefault="00000000" w:rsidRPr="00000000" w14:paraId="000001C5">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MYP</w:t>
      </w:r>
      <w:r w:rsidDel="00000000" w:rsidR="00000000" w:rsidRPr="00000000">
        <w:rPr>
          <w:rFonts w:ascii="Poppins" w:cs="Poppins" w:eastAsia="Poppins" w:hAnsi="Poppins"/>
          <w:rtl w:val="0"/>
        </w:rPr>
        <w:t xml:space="preserve">: Mauritius Youth Parliament: Parlamentul național bienal al tinerilor din Mauritius, care oferă un forum deliberativ pentru tinerii cu vârste între cincisprezece și douăzeci și patru de ani.</w:t>
      </w:r>
    </w:p>
    <w:p w:rsidR="00000000" w:rsidDel="00000000" w:rsidP="00000000" w:rsidRDefault="00000000" w:rsidRPr="00000000" w14:paraId="000001C6">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NYC:</w:t>
      </w:r>
      <w:r w:rsidDel="00000000" w:rsidR="00000000" w:rsidRPr="00000000">
        <w:rPr>
          <w:rFonts w:ascii="Poppins" w:cs="Poppins" w:eastAsia="Poppins" w:hAnsi="Poppins"/>
          <w:rtl w:val="0"/>
        </w:rPr>
        <w:t xml:space="preserve"> National Youth Council (Mauritius): Organismul statutar care coordonează organizațiile și programele de tineret în baza Legii Consiliului Național al Tinerilor (1998).</w:t>
      </w:r>
    </w:p>
    <w:p w:rsidR="00000000" w:rsidDel="00000000" w:rsidP="00000000" w:rsidRDefault="00000000" w:rsidRPr="00000000" w14:paraId="000001C7">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NYCN: </w:t>
      </w:r>
      <w:r w:rsidDel="00000000" w:rsidR="00000000" w:rsidRPr="00000000">
        <w:rPr>
          <w:rFonts w:ascii="Poppins" w:cs="Poppins" w:eastAsia="Poppins" w:hAnsi="Poppins"/>
          <w:rtl w:val="0"/>
        </w:rPr>
        <w:t xml:space="preserve">National Youth Council of Nigeria: Principalul organism statutar pentru reprezentarea tinerilor în Nigeria, cu treizeci și șase de filiale statale și 774 de filiale LGA.</w:t>
      </w:r>
    </w:p>
    <w:p w:rsidR="00000000" w:rsidDel="00000000" w:rsidP="00000000" w:rsidRDefault="00000000" w:rsidRPr="00000000" w14:paraId="000001C8">
      <w:pPr>
        <w:jc w:val="both"/>
        <w:rPr>
          <w:rFonts w:ascii="Poppins" w:cs="Poppins" w:eastAsia="Poppins" w:hAnsi="Poppins"/>
          <w:b w:val="1"/>
          <w:bCs w:val="1"/>
          <w:color w:val="2f6b3a"/>
        </w:rPr>
      </w:pPr>
      <w:r w:rsidDel="00000000" w:rsidR="00000000" w:rsidRPr="00000000">
        <w:rPr>
          <w:rFonts w:ascii="Poppins" w:cs="Poppins" w:eastAsia="Poppins" w:hAnsi="Poppins"/>
          <w:b w:val="1"/>
          <w:bCs w:val="1"/>
          <w:color w:val="2f6b3a"/>
          <w:rtl w:val="0"/>
        </w:rPr>
        <w:t xml:space="preserve">PCD: </w:t>
      </w:r>
      <w:r w:rsidDel="00000000" w:rsidR="00000000" w:rsidRPr="00000000">
        <w:rPr>
          <w:rFonts w:ascii="Poppins" w:cs="Poppins" w:eastAsia="Poppins" w:hAnsi="Poppins"/>
          <w:rtl w:val="0"/>
        </w:rPr>
        <w:t xml:space="preserve">Plan Communal de Développement (Madagascar): Plan Comunal de Dezvoltare, care oferă un cadru formal de planificare și consultare locală la nivel de comună.</w:t>
      </w:r>
      <w:r w:rsidDel="00000000" w:rsidR="00000000" w:rsidRPr="00000000">
        <w:rPr>
          <w:rtl w:val="0"/>
        </w:rPr>
      </w:r>
    </w:p>
    <w:p w:rsidR="00000000" w:rsidDel="00000000" w:rsidP="00000000" w:rsidRDefault="00000000" w:rsidRPr="00000000" w14:paraId="000001C9">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PNRR: </w:t>
      </w:r>
      <w:r w:rsidDel="00000000" w:rsidR="00000000" w:rsidRPr="00000000">
        <w:rPr>
          <w:rFonts w:ascii="Poppins" w:cs="Poppins" w:eastAsia="Poppins" w:hAnsi="Poppins"/>
          <w:rtl w:val="0"/>
        </w:rPr>
        <w:t xml:space="preserve">Piano Nazionale di Ripresa e Resilienza (Italia): Planul Național de Redresare și Reziliență al Italiei, care oferă investiții semnificative în dezvoltarea zonelor rurale și interne.</w:t>
      </w:r>
    </w:p>
    <w:p w:rsidR="00000000" w:rsidDel="00000000" w:rsidP="00000000" w:rsidRDefault="00000000" w:rsidRPr="00000000" w14:paraId="000001CA">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RYC: </w:t>
      </w:r>
      <w:r w:rsidDel="00000000" w:rsidR="00000000" w:rsidRPr="00000000">
        <w:rPr>
          <w:rFonts w:ascii="Poppins" w:cs="Poppins" w:eastAsia="Poppins" w:hAnsi="Poppins"/>
          <w:rtl w:val="0"/>
        </w:rPr>
        <w:t xml:space="preserve">Regional Youth Council (Mauritius): Structurile consiliilor de tineret la nivel districtual care funcționează în fiecare regiune administrativă din Mauritius, inclusiv Rodrigues.</w:t>
      </w:r>
    </w:p>
    <w:p w:rsidR="00000000" w:rsidDel="00000000" w:rsidP="00000000" w:rsidRDefault="00000000" w:rsidRPr="00000000" w14:paraId="000001CB">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RYP: Rural Youth Parliament: </w:t>
      </w:r>
      <w:r w:rsidDel="00000000" w:rsidR="00000000" w:rsidRPr="00000000">
        <w:rPr>
          <w:rFonts w:ascii="Poppins" w:cs="Poppins" w:eastAsia="Poppins" w:hAnsi="Poppins"/>
          <w:rtl w:val="0"/>
        </w:rPr>
        <w:t xml:space="preserve">Principalul mecanism de guvernanță participativă al proiectului EMPOWER+, un organism deliberativ structurat la nivel subnațional, care permite tinerilor din mediul rural să dezbată probleme comunitare, să formuleze propuneri și să interacționeze cu factorii de decizie locali.</w:t>
      </w:r>
    </w:p>
    <w:p w:rsidR="00000000" w:rsidDel="00000000" w:rsidP="00000000" w:rsidRDefault="00000000" w:rsidRPr="00000000" w14:paraId="000001CC">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Sarkin Samari: </w:t>
      </w:r>
      <w:r w:rsidDel="00000000" w:rsidR="00000000" w:rsidRPr="00000000">
        <w:rPr>
          <w:rFonts w:ascii="Poppins" w:cs="Poppins" w:eastAsia="Poppins" w:hAnsi="Poppins"/>
          <w:rtl w:val="0"/>
        </w:rPr>
        <w:t xml:space="preserve">Traditional Youth Leadership (Nigeria): Instituția tradițională de leadership al tinerilor din nordul Nigeriei, care oferă un canal instituționalizat pentru preocupările tinerilor în cadrul sistemului consiliilor emirale.</w:t>
      </w:r>
    </w:p>
    <w:p w:rsidR="00000000" w:rsidDel="00000000" w:rsidP="00000000" w:rsidRDefault="00000000" w:rsidRPr="00000000" w14:paraId="000001CD">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SNAI: </w:t>
      </w:r>
      <w:r w:rsidDel="00000000" w:rsidR="00000000" w:rsidRPr="00000000">
        <w:rPr>
          <w:rFonts w:ascii="Poppins" w:cs="Poppins" w:eastAsia="Poppins" w:hAnsi="Poppins"/>
          <w:rtl w:val="0"/>
        </w:rPr>
        <w:t xml:space="preserve">Strategia Nazionale per le Aree Interne (Italia): Strategia Națională pentru Zonele Interne, care abordează teritoriile rurale și marginale prin abordări integrate de dezvoltare teritorială.</w:t>
      </w:r>
    </w:p>
    <w:p w:rsidR="00000000" w:rsidDel="00000000" w:rsidP="00000000" w:rsidRDefault="00000000" w:rsidRPr="00000000" w14:paraId="000001CE">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SSPL:</w:t>
      </w:r>
      <w:r w:rsidDel="00000000" w:rsidR="00000000" w:rsidRPr="00000000">
        <w:rPr>
          <w:rFonts w:ascii="Poppins" w:cs="Poppins" w:eastAsia="Poppins" w:hAnsi="Poppins"/>
          <w:rtl w:val="0"/>
        </w:rPr>
        <w:t xml:space="preserve"> System Strategy and Policy Lab: Organizația parteneră din Nigeria în EMPOWER+, care oferă expertiză în cercetare de politici publice și guvernanță a tinerilor.</w:t>
      </w:r>
    </w:p>
    <w:p w:rsidR="00000000" w:rsidDel="00000000" w:rsidP="00000000" w:rsidRDefault="00000000" w:rsidRPr="00000000" w14:paraId="000001CF">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SSA:</w:t>
      </w:r>
      <w:r w:rsidDel="00000000" w:rsidR="00000000" w:rsidRPr="00000000">
        <w:rPr>
          <w:rFonts w:ascii="Poppins" w:cs="Poppins" w:eastAsia="Poppins" w:hAnsi="Poppins"/>
          <w:rtl w:val="0"/>
        </w:rPr>
        <w:t xml:space="preserve"> Africa Subsahariană: Denumirea geografică utilizată în acest raport pentru a desemna cele patru țări partenere africane: Botswana, Madagascar, Mauritius și Nigeria.</w:t>
      </w:r>
    </w:p>
    <w:p w:rsidR="00000000" w:rsidDel="00000000" w:rsidP="00000000" w:rsidRDefault="00000000" w:rsidRPr="00000000" w14:paraId="000001D0">
      <w:pPr>
        <w:jc w:val="both"/>
        <w:rPr>
          <w:rFonts w:ascii="Poppins" w:cs="Poppins" w:eastAsia="Poppins" w:hAnsi="Poppins"/>
          <w:b w:val="1"/>
          <w:bCs w:val="1"/>
          <w:color w:val="2f6b3a"/>
        </w:rPr>
      </w:pPr>
      <w:r w:rsidDel="00000000" w:rsidR="00000000" w:rsidRPr="00000000">
        <w:rPr>
          <w:rFonts w:ascii="Poppins" w:cs="Poppins" w:eastAsia="Poppins" w:hAnsi="Poppins"/>
          <w:b w:val="1"/>
          <w:bCs w:val="1"/>
          <w:color w:val="2f6b3a"/>
          <w:rtl w:val="0"/>
        </w:rPr>
        <w:t xml:space="preserve">TIDC:</w:t>
      </w:r>
      <w:r w:rsidDel="00000000" w:rsidR="00000000" w:rsidRPr="00000000">
        <w:rPr>
          <w:rFonts w:ascii="Poppins" w:cs="Poppins" w:eastAsia="Poppins" w:hAnsi="Poppins"/>
          <w:rtl w:val="0"/>
        </w:rPr>
        <w:t xml:space="preserve"> Tlokweng District Council: Partenerul de administrație locală din Botswana în EMPOWER+.</w:t>
      </w:r>
      <w:r w:rsidDel="00000000" w:rsidR="00000000" w:rsidRPr="00000000">
        <w:rPr>
          <w:rtl w:val="0"/>
        </w:rPr>
      </w:r>
    </w:p>
    <w:p w:rsidR="00000000" w:rsidDel="00000000" w:rsidP="00000000" w:rsidRDefault="00000000" w:rsidRPr="00000000" w14:paraId="000001D1">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VDC:</w:t>
      </w:r>
      <w:r w:rsidDel="00000000" w:rsidR="00000000" w:rsidRPr="00000000">
        <w:rPr>
          <w:rFonts w:ascii="Poppins" w:cs="Poppins" w:eastAsia="Poppins" w:hAnsi="Poppins"/>
          <w:rtl w:val="0"/>
        </w:rPr>
        <w:t xml:space="preserve"> Village Development Committee (Botswana): Structura de guvernanță comunitară sub-districtuală care oferă un mecanism formal de consultare la nivel de sat.</w:t>
      </w:r>
    </w:p>
    <w:p w:rsidR="00000000" w:rsidDel="00000000" w:rsidP="00000000" w:rsidRDefault="00000000" w:rsidRPr="00000000" w14:paraId="000001D2">
      <w:pPr>
        <w:jc w:val="both"/>
        <w:rPr>
          <w:rFonts w:ascii="Poppins" w:cs="Poppins" w:eastAsia="Poppins" w:hAnsi="Poppins"/>
          <w:b w:val="1"/>
          <w:bCs w:val="1"/>
          <w:color w:val="2f6b3a"/>
        </w:rPr>
      </w:pPr>
      <w:r w:rsidDel="00000000" w:rsidR="00000000" w:rsidRPr="00000000">
        <w:rPr>
          <w:rFonts w:ascii="Poppins" w:cs="Poppins" w:eastAsia="Poppins" w:hAnsi="Poppins"/>
          <w:b w:val="1"/>
          <w:bCs w:val="1"/>
          <w:color w:val="2f6b3a"/>
          <w:rtl w:val="0"/>
        </w:rPr>
        <w:t xml:space="preserve">WDC: </w:t>
      </w:r>
      <w:r w:rsidDel="00000000" w:rsidR="00000000" w:rsidRPr="00000000">
        <w:rPr>
          <w:rFonts w:ascii="Poppins" w:cs="Poppins" w:eastAsia="Poppins" w:hAnsi="Poppins"/>
          <w:rtl w:val="0"/>
        </w:rPr>
        <w:t xml:space="preserve">Ward Development Committee (Nigeria): Structura de guvernanță comunitară sub-LGA.</w:t>
      </w:r>
      <w:r w:rsidDel="00000000" w:rsidR="00000000" w:rsidRPr="00000000">
        <w:rPr>
          <w:rtl w:val="0"/>
        </w:rPr>
      </w:r>
    </w:p>
    <w:p w:rsidR="00000000" w:rsidDel="00000000" w:rsidP="00000000" w:rsidRDefault="00000000" w:rsidRPr="00000000" w14:paraId="000001D3">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WP2: </w:t>
      </w:r>
      <w:r w:rsidDel="00000000" w:rsidR="00000000" w:rsidRPr="00000000">
        <w:rPr>
          <w:rFonts w:ascii="Poppins" w:cs="Poppins" w:eastAsia="Poppins" w:hAnsi="Poppins"/>
          <w:rtl w:val="0"/>
        </w:rPr>
        <w:t xml:space="preserve">Work Package 2 (EMPOWER+): Youth Policy Framework, pachetul de lucru pentru care acest raport reprezintă principalul livrabil (D2.1).</w:t>
      </w:r>
    </w:p>
    <w:p w:rsidR="00000000" w:rsidDel="00000000" w:rsidP="00000000" w:rsidRDefault="00000000" w:rsidRPr="00000000" w14:paraId="000001D4">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YEPP: </w:t>
      </w:r>
      <w:r w:rsidDel="00000000" w:rsidR="00000000" w:rsidRPr="00000000">
        <w:rPr>
          <w:rFonts w:ascii="Poppins" w:cs="Poppins" w:eastAsia="Poppins" w:hAnsi="Poppins"/>
          <w:rtl w:val="0"/>
        </w:rPr>
        <w:t xml:space="preserve">Youth Empowerment Partnership Programme (Italia): Programul internațional care sprijină capacitarea tinerilor din comunități dezavantajate prin Grupuri Locale de Sprijin cu autoritate bugetară reală și investiție relațională pe termen lung.</w:t>
      </w:r>
    </w:p>
    <w:p w:rsidR="00000000" w:rsidDel="00000000" w:rsidP="00000000" w:rsidRDefault="00000000" w:rsidRPr="00000000" w14:paraId="000001D5">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YDF: </w:t>
      </w:r>
      <w:r w:rsidDel="00000000" w:rsidR="00000000" w:rsidRPr="00000000">
        <w:rPr>
          <w:rFonts w:ascii="Poppins" w:cs="Poppins" w:eastAsia="Poppins" w:hAnsi="Poppins"/>
          <w:rtl w:val="0"/>
        </w:rPr>
        <w:t xml:space="preserve">Youth Development Fund (Botswana): Mecanismul public de finanțare care sprijină dezvoltarea antreprenorială a tinerilor.</w:t>
      </w:r>
    </w:p>
    <w:p w:rsidR="00000000" w:rsidDel="00000000" w:rsidP="00000000" w:rsidRDefault="00000000" w:rsidRPr="00000000" w14:paraId="000001D6">
      <w:pPr>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YUVA: </w:t>
      </w:r>
      <w:r w:rsidDel="00000000" w:rsidR="00000000" w:rsidRPr="00000000">
        <w:rPr>
          <w:rFonts w:ascii="Poppins" w:cs="Poppins" w:eastAsia="Poppins" w:hAnsi="Poppins"/>
          <w:rtl w:val="0"/>
        </w:rPr>
        <w:t xml:space="preserve">Youth United in Voluntary Action: Organizația neguvernamentală din Mauritius care vizează tinerii din mediul rural prin Rural Youth Empowerment Project, combinând formarea în leadership, microfinanțarea și implicarea civică.</w:t>
      </w:r>
    </w:p>
    <w:p w:rsidR="00000000" w:rsidDel="00000000" w:rsidP="00000000" w:rsidRDefault="00000000" w:rsidRPr="00000000" w14:paraId="000001D7">
      <w:pPr>
        <w:jc w:val="both"/>
        <w:rPr>
          <w:rFonts w:ascii="Poppins" w:cs="Poppins" w:eastAsia="Poppins" w:hAnsi="Poppins"/>
        </w:rPr>
      </w:pPr>
      <w:r w:rsidDel="00000000" w:rsidR="00000000" w:rsidRPr="00000000">
        <w:br w:type="page"/>
      </w:r>
      <w:r w:rsidDel="00000000" w:rsidR="00000000" w:rsidRPr="00000000">
        <w:rPr>
          <w:rtl w:val="0"/>
        </w:rPr>
      </w:r>
    </w:p>
    <w:p w:rsidR="00000000" w:rsidDel="00000000" w:rsidP="00000000" w:rsidRDefault="00000000" w:rsidRPr="00000000" w14:paraId="000001D8">
      <w:pPr>
        <w:pStyle w:val="Heading1"/>
        <w:keepNext w:val="1"/>
        <w:spacing w:after="120" w:before="360" w:lineRule="auto"/>
        <w:rPr>
          <w:rFonts w:ascii="Poppins" w:cs="Poppins" w:eastAsia="Poppins" w:hAnsi="Poppins"/>
          <w:color w:val="2f6b3a"/>
        </w:rPr>
      </w:pPr>
      <w:bookmarkStart w:colFirst="0" w:colLast="0" w:name="_heading=h.vu4wg8b7do74" w:id="42"/>
      <w:bookmarkEnd w:id="42"/>
      <w:r w:rsidDel="00000000" w:rsidR="00000000" w:rsidRPr="00000000">
        <w:rPr>
          <w:rFonts w:ascii="Poppins" w:cs="Poppins" w:eastAsia="Poppins" w:hAnsi="Poppins"/>
          <w:color w:val="2f6b3a"/>
          <w:rtl w:val="0"/>
        </w:rPr>
        <w:t xml:space="preserve">Bibliografie</w:t>
      </w:r>
    </w:p>
    <w:p w:rsidR="00000000" w:rsidDel="00000000" w:rsidP="00000000" w:rsidRDefault="00000000" w:rsidRPr="00000000" w14:paraId="000001D9">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Următoarele referințe includ documentele sursă primare produse în cadrul Sarcinilor 2.1 și 2.2 ale proiectului EMPOWER+, principalele cadre de politici publice menționate pe parcursul analizei și o selecție de literatură academică și instituțională care informează cadrul comparativ.</w:t>
      </w:r>
      <w:r w:rsidDel="00000000" w:rsidR="00000000" w:rsidRPr="00000000">
        <w:rPr>
          <w:rtl w:val="0"/>
        </w:rPr>
      </w:r>
    </w:p>
    <w:p w:rsidR="00000000" w:rsidDel="00000000" w:rsidP="00000000" w:rsidRDefault="00000000" w:rsidRPr="00000000" w14:paraId="000001DA">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Surse primare: Rapoarte de țară EMPOWER+</w:t>
      </w:r>
    </w:p>
    <w:p w:rsidR="00000000" w:rsidDel="00000000" w:rsidP="00000000" w:rsidRDefault="00000000" w:rsidRPr="00000000" w14:paraId="000001DB">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Joint Minds Consult and Tlokweng District Council (2025). EMPOWER+ Task 2.1 Country Report: Botswana. EMPOWER+ Consortium.</w:t>
      </w:r>
    </w:p>
    <w:p w:rsidR="00000000" w:rsidDel="00000000" w:rsidP="00000000" w:rsidRDefault="00000000" w:rsidRPr="00000000" w14:paraId="000001DC">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Joint Minds Consult and Tlokweng District Council (2026). EMPOWER+ Task 2.2 Country Report: Botswana. EMPOWER+ Consortium.</w:t>
      </w:r>
    </w:p>
    <w:p w:rsidR="00000000" w:rsidDel="00000000" w:rsidP="00000000" w:rsidRDefault="00000000" w:rsidRPr="00000000" w14:paraId="000001DD">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Centres d'Entraînement aux Méthodes d'Éducation Active de Madagascar (2025). EMPOWER+ Task 2.1 Country Report: Madagascar. EMPOWER+ Consortium.</w:t>
      </w:r>
    </w:p>
    <w:p w:rsidR="00000000" w:rsidDel="00000000" w:rsidP="00000000" w:rsidRDefault="00000000" w:rsidRPr="00000000" w14:paraId="000001DE">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Centres d'Entraînement aux Méthodes d'Éducation Active de Madagascar (2026). EMPOWER+ Task 2.2 Country Report: Madagascar. EMPOWER+ Consortium.</w:t>
      </w:r>
    </w:p>
    <w:p w:rsidR="00000000" w:rsidDel="00000000" w:rsidP="00000000" w:rsidRDefault="00000000" w:rsidRPr="00000000" w14:paraId="000001DF">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Fédération des Maisons Familiales Rurales de Maurice et Rodrigues (2025). EMPOWER+ Task 2.1 Country Report: Mauritius. EMPOWER+ Consortium.</w:t>
      </w:r>
    </w:p>
    <w:p w:rsidR="00000000" w:rsidDel="00000000" w:rsidP="00000000" w:rsidRDefault="00000000" w:rsidRPr="00000000" w14:paraId="000001E0">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Fédération des Maisons Familiales Rurales de Maurice et Rodrigues (2026). EMPOWER+ Task 2.2 Country Report: Mauritius. EMPOWER+ Consortium.</w:t>
      </w:r>
    </w:p>
    <w:p w:rsidR="00000000" w:rsidDel="00000000" w:rsidP="00000000" w:rsidRDefault="00000000" w:rsidRPr="00000000" w14:paraId="000001E1">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System Strategy and Policy Lab (2025). EMPOWER+ Task 2.1 Country Report: Nigeria. EMPOWER+ Consortium.</w:t>
      </w:r>
    </w:p>
    <w:p w:rsidR="00000000" w:rsidDel="00000000" w:rsidP="00000000" w:rsidRDefault="00000000" w:rsidRPr="00000000" w14:paraId="000001E2">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System Strategy and Policy Lab (2026). EMPOWER+ Task 2.2 Country Report: Nigeria. EMPOWER+ Consortium.</w:t>
      </w:r>
    </w:p>
    <w:p w:rsidR="00000000" w:rsidDel="00000000" w:rsidP="00000000" w:rsidRDefault="00000000" w:rsidRPr="00000000" w14:paraId="000001E3">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Connectus (2025). EMPOWER+ Task 2.1 Country Report: Greece. EMPOWER+ Consortium.</w:t>
      </w:r>
    </w:p>
    <w:p w:rsidR="00000000" w:rsidDel="00000000" w:rsidP="00000000" w:rsidRDefault="00000000" w:rsidRPr="00000000" w14:paraId="000001E4">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Connectus (2026). EMPOWER+ Task 2.2 Country Report: Greece. EMPOWER+ Consortium.</w:t>
      </w:r>
    </w:p>
    <w:p w:rsidR="00000000" w:rsidDel="00000000" w:rsidP="00000000" w:rsidRDefault="00000000" w:rsidRPr="00000000" w14:paraId="000001E5">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 Rocca (2025). EMPOWER+ Task 2.1 Country Report: Italy. EMPOWER+ Consortium.</w:t>
      </w:r>
    </w:p>
    <w:p w:rsidR="00000000" w:rsidDel="00000000" w:rsidP="00000000" w:rsidRDefault="00000000" w:rsidRPr="00000000" w14:paraId="000001E6">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 Rocca (2026). EMPOWER+ Task 2.2 Country Report: Italy. EMPOWER+ Consortium.</w:t>
      </w:r>
    </w:p>
    <w:p w:rsidR="00000000" w:rsidDel="00000000" w:rsidP="00000000" w:rsidRDefault="00000000" w:rsidRPr="00000000" w14:paraId="000001E7">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LAG Napoca Porolissum (2025). EMPOWER+ Task 2.1 Country Report: Romania. EMPOWER+ Consortium.</w:t>
      </w:r>
    </w:p>
    <w:p w:rsidR="00000000" w:rsidDel="00000000" w:rsidP="00000000" w:rsidRDefault="00000000" w:rsidRPr="00000000" w14:paraId="000001E8">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LAG Napoca Porolissum (2026). EMPOWER+ Task 2.2 Country Report: Romania. EMPOWER+ Consortium.</w:t>
      </w:r>
    </w:p>
    <w:p w:rsidR="00000000" w:rsidDel="00000000" w:rsidP="00000000" w:rsidRDefault="00000000" w:rsidRPr="00000000" w14:paraId="000001E9">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Cadre de politici publice și standarde internaționale</w:t>
      </w:r>
    </w:p>
    <w:p w:rsidR="00000000" w:rsidDel="00000000" w:rsidP="00000000" w:rsidRDefault="00000000" w:rsidRPr="00000000" w14:paraId="000001EA">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African Union (2006). African Youth Charter. African Union Commission, Addis Ababa.</w:t>
      </w:r>
    </w:p>
    <w:p w:rsidR="00000000" w:rsidDel="00000000" w:rsidP="00000000" w:rsidRDefault="00000000" w:rsidRPr="00000000" w14:paraId="000001EB">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Commonwealth Parliamentary Association (2023). Youth Parliament Toolkit. CPA Headquarters Secretariat, London.</w:t>
      </w:r>
    </w:p>
    <w:p w:rsidR="00000000" w:rsidDel="00000000" w:rsidP="00000000" w:rsidRDefault="00000000" w:rsidRPr="00000000" w14:paraId="000001EC">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European Commission (2019). EU Youth Strategy 2019-2027: Engage, Connect, Empower. Publications Office of the European Union, Luxembourg.</w:t>
      </w:r>
    </w:p>
    <w:p w:rsidR="00000000" w:rsidDel="00000000" w:rsidP="00000000" w:rsidRDefault="00000000" w:rsidRPr="00000000" w14:paraId="000001ED">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European Commission (2021). Erasmus+ Programme Guide. European Commission, Brussels.</w:t>
      </w:r>
    </w:p>
    <w:p w:rsidR="00000000" w:rsidDel="00000000" w:rsidP="00000000" w:rsidRDefault="00000000" w:rsidRPr="00000000" w14:paraId="000001EE">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Government of Botswana (2010). Revised National Youth Policy. Ministry of Youth, Sport and Culture, Gaborone.</w:t>
      </w:r>
    </w:p>
    <w:p w:rsidR="00000000" w:rsidDel="00000000" w:rsidP="00000000" w:rsidRDefault="00000000" w:rsidRPr="00000000" w14:paraId="000001EF">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Government of Mauritius (2016). National Youth Policy. Ministry of Youth and Sports, Port Louis.</w:t>
      </w:r>
    </w:p>
    <w:p w:rsidR="00000000" w:rsidDel="00000000" w:rsidP="00000000" w:rsidRDefault="00000000" w:rsidRPr="00000000" w14:paraId="000001F0">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Government of Nigeria (2018). Not Too Young to Run Act. National Assembly of Nigeria, Abuja.</w:t>
      </w:r>
    </w:p>
    <w:p w:rsidR="00000000" w:rsidDel="00000000" w:rsidP="00000000" w:rsidRDefault="00000000" w:rsidRPr="00000000" w14:paraId="000001F1">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Government of Nigeria (2019). National Youth Policy. Federal Ministry of Youth and Sports Development, Abuja.</w:t>
      </w:r>
    </w:p>
    <w:p w:rsidR="00000000" w:rsidDel="00000000" w:rsidP="00000000" w:rsidRDefault="00000000" w:rsidRPr="00000000" w14:paraId="000001F2">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Government of Romania (2024). National Youth Strategy 2024-2027. Ministry of Family, Youth and Equal Opportunities, Bucharest.</w:t>
      </w:r>
    </w:p>
    <w:p w:rsidR="00000000" w:rsidDel="00000000" w:rsidP="00000000" w:rsidRDefault="00000000" w:rsidRPr="00000000" w14:paraId="000001F3">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International Institute for Democracy and Electoral Assistance (2021). Youth Parliamentary Academy Toolkit. IDEA, Stockholm.</w:t>
      </w:r>
    </w:p>
    <w:p w:rsidR="00000000" w:rsidDel="00000000" w:rsidP="00000000" w:rsidRDefault="00000000" w:rsidRPr="00000000" w14:paraId="000001F4">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Republic of Madagascar (2015). Plan d'Emergence de Madagascar. Presidence de la Republique, Antananarivo.</w:t>
      </w:r>
    </w:p>
    <w:p w:rsidR="00000000" w:rsidDel="00000000" w:rsidP="00000000" w:rsidRDefault="00000000" w:rsidRPr="00000000" w14:paraId="000001F5">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United Nations (2010). United Nations World Programme of Action for Youth. UN Department of Economic and Social Affairs, New York.</w:t>
      </w:r>
    </w:p>
    <w:p w:rsidR="00000000" w:rsidDel="00000000" w:rsidP="00000000" w:rsidRDefault="00000000" w:rsidRPr="00000000" w14:paraId="000001F6">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Literatură academică și instituțională</w:t>
      </w:r>
    </w:p>
    <w:p w:rsidR="00000000" w:rsidDel="00000000" w:rsidP="00000000" w:rsidRDefault="00000000" w:rsidRPr="00000000" w14:paraId="000001F7">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Arnstein, S.R. (1969). A Ladder of Citizen Participation. Journal of the American Institute of Planners, 35(4), 216-224.</w:t>
      </w:r>
    </w:p>
    <w:p w:rsidR="00000000" w:rsidDel="00000000" w:rsidP="00000000" w:rsidRDefault="00000000" w:rsidRPr="00000000" w14:paraId="000001F8">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Brady, B., Chaskin, R. and McGregor, C. (2020). Promoting Civic and Political Engagement among Marginalized Urban Youth in Three Cities. Children and Youth Services Review, 113, 104961.</w:t>
      </w:r>
    </w:p>
    <w:p w:rsidR="00000000" w:rsidDel="00000000" w:rsidP="00000000" w:rsidRDefault="00000000" w:rsidRPr="00000000" w14:paraId="000001F9">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Checkoway, B. and Aldana, A. (2013). Four Forms of Youth Civic Engagement for Diverse Democracy. Children and Youth Services Review, 35(11), 1894-1899.</w:t>
      </w:r>
    </w:p>
    <w:p w:rsidR="00000000" w:rsidDel="00000000" w:rsidP="00000000" w:rsidRDefault="00000000" w:rsidRPr="00000000" w14:paraId="000001FA">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Commonwealth Secretariat (2016). Youth Development Index 2016. Commonwealth Secretariat, London.</w:t>
      </w:r>
    </w:p>
    <w:p w:rsidR="00000000" w:rsidDel="00000000" w:rsidP="00000000" w:rsidRDefault="00000000" w:rsidRPr="00000000" w14:paraId="000001FB">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Hart, R. (1992). Children's Participation: From Tokenism to Citizenship. UNICEF Innocenti Essays No. 4. UNICEF, Florence.</w:t>
      </w:r>
    </w:p>
    <w:p w:rsidR="00000000" w:rsidDel="00000000" w:rsidP="00000000" w:rsidRDefault="00000000" w:rsidRPr="00000000" w14:paraId="000001FC">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International Youth Foundation (2015). Reconnecting Youth in Sub-Saharan Africa. International Youth Foundation, Baltimore.</w:t>
      </w:r>
    </w:p>
    <w:p w:rsidR="00000000" w:rsidDel="00000000" w:rsidP="00000000" w:rsidRDefault="00000000" w:rsidRPr="00000000" w14:paraId="000001FD">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Mannion, G. (2010). After Participation: The Sociospatial Performance of Intergenerational Becoming. In B. Percy-Smith and N. Thomas (Eds.), A Handbook of Children and Young People's Participation. Routledge, London.</w:t>
      </w:r>
    </w:p>
    <w:p w:rsidR="00000000" w:rsidDel="00000000" w:rsidP="00000000" w:rsidRDefault="00000000" w:rsidRPr="00000000" w14:paraId="000001FE">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Nesi, H., Meulenberg, M. and Schafft, K. (2016). Youth Participation in Rural Development. Rural Sociology, 81(4), 501-528.</w:t>
      </w:r>
    </w:p>
    <w:p w:rsidR="00000000" w:rsidDel="00000000" w:rsidP="00000000" w:rsidRDefault="00000000" w:rsidRPr="00000000" w14:paraId="000001FF">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Percy-Smith, B. and Thomas, N. (Eds.) (2010). A Handbook of Children and Young People's Participation: Perspectives from Theory and Practice. Routledge, London.</w:t>
      </w:r>
    </w:p>
    <w:p w:rsidR="00000000" w:rsidDel="00000000" w:rsidP="00000000" w:rsidRDefault="00000000" w:rsidRPr="00000000" w14:paraId="00000200">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UNDP (2021). Youth Participation in Democratic Governance. UNDP Oslo Governance Centre, Oslo.</w:t>
      </w:r>
    </w:p>
    <w:p w:rsidR="00000000" w:rsidDel="00000000" w:rsidP="00000000" w:rsidRDefault="00000000" w:rsidRPr="00000000" w14:paraId="00000201">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UNICEF (2020). Children's Parliaments: A Practical Guide. UNICEF, New York.</w:t>
      </w:r>
    </w:p>
    <w:p w:rsidR="00000000" w:rsidDel="00000000" w:rsidP="00000000" w:rsidRDefault="00000000" w:rsidRPr="00000000" w14:paraId="00000202">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World Bank (2022). Inclusion and Resilience: Youth Civic Participation in Fragile Contexts. World Bank Group, Washington D.C.</w:t>
      </w:r>
    </w:p>
    <w:p w:rsidR="00000000" w:rsidDel="00000000" w:rsidP="00000000" w:rsidRDefault="00000000" w:rsidRPr="00000000" w14:paraId="00000203">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Youth Policy Press (2022). World Youth Report 2022: Social Entrepreneurship and the 2030 Agenda. UN Department of Economic and Social Affairs, New York.</w:t>
      </w:r>
    </w:p>
    <w:sectPr>
      <w:headerReference r:id="rId12" w:type="default"/>
      <w:footerReference r:id="rId13" w:type="default"/>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ERASMUS-YOUTH-2025-CB-SSA – Project number: 101243075</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160019</wp:posOffset>
          </wp:positionH>
          <wp:positionV relativeFrom="paragraph">
            <wp:posOffset>-99694</wp:posOffset>
          </wp:positionV>
          <wp:extent cx="6105600" cy="1117600"/>
          <wp:effectExtent b="0" l="0" r="0" t="0"/>
          <wp:wrapTopAndBottom distB="114300" distT="11430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105600" cy="1117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6">
    <w:pPr>
      <w:spacing w:line="240" w:lineRule="auto"/>
      <w:jc w:val="center"/>
      <w:rPr>
        <w:rFonts w:ascii="Calibri" w:cs="Calibri" w:eastAsia="Calibri" w:hAnsi="Calibri"/>
      </w:rPr>
    </w:pPr>
    <w:r w:rsidDel="00000000" w:rsidR="00000000" w:rsidRPr="00000000">
      <w:rPr>
        <w:rFonts w:ascii="Calibri" w:cs="Calibri" w:eastAsia="Calibri" w:hAnsi="Calibri"/>
        <w:i w:val="1"/>
        <w:iCs w:val="1"/>
        <w:sz w:val="18"/>
        <w:szCs w:val="18"/>
        <w:rtl w:val="0"/>
      </w:rPr>
      <w:t xml:space="preserve">ERASMUS-YOUTH-2025-CB-SSA – Project number: 101243075</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105600" cy="1117600"/>
          <wp:effectExtent b="0" l="0" r="0" t="0"/>
          <wp:wrapTopAndBottom distB="114300" distT="114300"/>
          <wp:docPr id="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105600" cy="1117600"/>
                  </a:xfrm>
                  <a:prstGeom prst="rect"/>
                  <a:ln/>
                </pic:spPr>
              </pic:pic>
            </a:graphicData>
          </a:graphic>
        </wp:anchor>
      </w:drawing>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8">
    <w:pPr>
      <w:pBdr>
        <w:top w:color="4f81bd" w:space="1" w:sz="4" w:val="single"/>
      </w:pBdr>
      <w:tabs>
        <w:tab w:val="center" w:leader="none" w:pos="4514"/>
      </w:tabs>
      <w:spacing w:before="60" w:line="240" w:lineRule="auto"/>
      <w:rPr>
        <w:rFonts w:ascii="Calibri" w:cs="Calibri" w:eastAsia="Calibri" w:hAnsi="Calibri"/>
        <w:color w:val="666666"/>
        <w:sz w:val="18"/>
        <w:szCs w:val="18"/>
      </w:rPr>
    </w:pPr>
    <w:r w:rsidDel="00000000" w:rsidR="00000000" w:rsidRPr="00000000">
      <w:rPr>
        <w:rFonts w:ascii="Calibri" w:cs="Calibri" w:eastAsia="Calibri" w:hAnsi="Calibri"/>
        <w:color w:val="666666"/>
        <w:sz w:val="18"/>
        <w:szCs w:val="18"/>
        <w:rtl w:val="0"/>
      </w:rPr>
      <w:tab/>
      <w:t xml:space="preserve">Empowering Rural Youth: Establishing and Strengthening the Rural Youth Parliament in Sub-Saharan Africa</w:t>
    </w:r>
  </w:p>
  <w:p w:rsidR="00000000" w:rsidDel="00000000" w:rsidP="00000000" w:rsidRDefault="00000000" w:rsidRPr="00000000" w14:paraId="00000209">
    <w:pPr>
      <w:spacing w:line="240" w:lineRule="auto"/>
      <w:jc w:val="center"/>
      <w:rPr/>
    </w:pPr>
    <w:r w:rsidDel="00000000" w:rsidR="00000000" w:rsidRPr="00000000">
      <w:rPr>
        <w:rFonts w:ascii="Calibri" w:cs="Calibri" w:eastAsia="Calibri" w:hAnsi="Calibri"/>
        <w:color w:val="666666"/>
        <w:sz w:val="18"/>
        <w:szCs w:val="18"/>
        <w:rtl w:val="0"/>
      </w:rPr>
      <w:t xml:space="preserve">ERASMUS-YOUTH-2025-CB-SSA | Project number: 101243075</w:t>
    </w:r>
    <w:r w:rsidDel="00000000" w:rsidR="00000000" w:rsidRPr="00000000">
      <w:rPr>
        <w:rtl w:val="0"/>
      </w:rPr>
    </w:r>
  </w:p>
  <w:p w:rsidR="00000000" w:rsidDel="00000000" w:rsidP="00000000" w:rsidRDefault="00000000" w:rsidRPr="00000000" w14:paraId="0000020A">
    <w:pPr>
      <w:spacing w:line="240" w:lineRule="auto"/>
      <w:jc w:val="center"/>
      <w:rPr/>
    </w:pPr>
    <w:r w:rsidDel="00000000" w:rsidR="00000000" w:rsidRPr="00000000">
      <w:rPr>
        <w:rFonts w:ascii="Calibri" w:cs="Calibri" w:eastAsia="Calibri" w:hAnsi="Calibri"/>
        <w:i w:val="1"/>
        <w:iCs w:val="1"/>
        <w:color w:val="666666"/>
        <w:sz w:val="18"/>
        <w:szCs w:val="18"/>
        <w:rtl w:val="0"/>
      </w:rPr>
      <w:t xml:space="preserve">Funded by the European Union. Views and opinions expressed are those of the author(s) only and do not necessarily reflect those of the European Union or EACEA.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4">
    <w:pPr>
      <w:spacing w:after="160" w:line="278.00000000000006" w:lineRule="auto"/>
      <w:jc w:val="right"/>
      <w:rPr/>
    </w:pPr>
    <w:r w:rsidDel="00000000" w:rsidR="00000000" w:rsidRPr="00000000">
      <w:rPr>
        <w:rFonts w:ascii="Calibri" w:cs="Calibri" w:eastAsia="Calibri" w:hAnsi="Calibri"/>
      </w:rPr>
      <w:drawing>
        <wp:inline distB="114300" distT="114300" distL="114300" distR="114300">
          <wp:extent cx="931069" cy="890588"/>
          <wp:effectExtent b="0" l="0" r="0" t="0"/>
          <wp:docPr id="6"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931069" cy="890588"/>
                  </a:xfrm>
                  <a:prstGeom prst="rect"/>
                  <a:ln/>
                </pic:spPr>
              </pic:pic>
            </a:graphicData>
          </a:graphic>
        </wp:inline>
      </w:drawing>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1"/>
      <w:bCs w:val="1"/>
      <w:i w:val="0"/>
      <w:iCs w:val="0"/>
      <w:smallCaps w:val="0"/>
      <w:strike w:val="0"/>
      <w:color w:val="1f497d"/>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1"/>
      <w:bCs w:val="1"/>
      <w:i w:val="0"/>
      <w:iCs w:val="0"/>
      <w:smallCaps w:val="0"/>
      <w:strike w:val="0"/>
      <w:color w:val="4f81bd"/>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1"/>
      <w:bCs w:val="1"/>
      <w:i w:val="0"/>
      <w:iCs w:val="0"/>
      <w:smallCaps w:val="0"/>
      <w:strike w:val="0"/>
      <w:color w:val="1f497d"/>
      <w:sz w:val="28"/>
      <w:szCs w:val="28"/>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1"/>
      <w:bCs w:val="1"/>
      <w:i w:val="0"/>
      <w:iCs w:val="0"/>
      <w:smallCaps w:val="0"/>
      <w:strike w:val="0"/>
      <w:color w:val="1a1a1a"/>
      <w:sz w:val="24"/>
      <w:szCs w:val="24"/>
      <w:u w:val="none"/>
      <w:shd w:fill="auto" w:val="clear"/>
      <w:vertAlign w:val="baseline"/>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2.png"/><Relationship Id="rId13" Type="http://schemas.openxmlformats.org/officeDocument/2006/relationships/footer" Target="foot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uXq44kB3XZlNd4j7j2hraORYKg==">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0x0101002B0390011445F443992AAA180A5C5B7D</vt:lpwstr>
  </property>
  <property fmtid="{D5CDD505-2E9C-101B-9397-08002B2CF9AE}" pid="3" name="MediaServiceImageTags">
    <vt:lpwstr>MediaServiceImageTags</vt:lpwstr>
  </property>
</Properties>
</file>