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Poppins" w:cs="Poppins" w:eastAsia="Poppins" w:hAnsi="Poppins"/>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1994217</wp:posOffset>
            </wp:positionH>
            <wp:positionV relativeFrom="paragraph">
              <wp:posOffset>-1031239</wp:posOffset>
            </wp:positionV>
            <wp:extent cx="2120265" cy="1920240"/>
            <wp:effectExtent b="0" l="0" r="0" t="0"/>
            <wp:wrapNone/>
            <wp:docPr id="5" name="image4.png"/>
            <a:graphic>
              <a:graphicData uri="http://schemas.openxmlformats.org/drawingml/2006/picture">
                <pic:pic>
                  <pic:nvPicPr>
                    <pic:cNvPr id="0" name="image4.png"/>
                    <pic:cNvPicPr preferRelativeResize="0"/>
                  </pic:nvPicPr>
                  <pic:blipFill>
                    <a:blip r:embed="rId7"/>
                    <a:srcRect b="0" l="0" r="0" t="0"/>
                    <a:stretch>
                      <a:fillRect/>
                    </a:stretch>
                  </pic:blipFill>
                  <pic:spPr>
                    <a:xfrm>
                      <a:off x="0" y="0"/>
                      <a:ext cx="2120265" cy="1920240"/>
                    </a:xfrm>
                    <a:prstGeom prst="rect"/>
                    <a:ln/>
                  </pic:spPr>
                </pic:pic>
              </a:graphicData>
            </a:graphic>
          </wp:anchor>
        </w:drawing>
      </w:r>
    </w:p>
    <w:p w:rsidR="00000000" w:rsidDel="00000000" w:rsidP="00000000" w:rsidRDefault="00000000" w:rsidRPr="00000000" w14:paraId="00000002">
      <w:pPr>
        <w:rPr>
          <w:rFonts w:ascii="Poppins" w:cs="Poppins" w:eastAsia="Poppins" w:hAnsi="Poppins"/>
        </w:rPr>
      </w:pPr>
      <w:r w:rsidDel="00000000" w:rsidR="00000000" w:rsidRPr="00000000">
        <w:rPr>
          <w:rtl w:val="0"/>
        </w:rPr>
      </w:r>
    </w:p>
    <w:p w:rsidR="00000000" w:rsidDel="00000000" w:rsidP="00000000" w:rsidRDefault="00000000" w:rsidRPr="00000000" w14:paraId="00000003">
      <w:pPr>
        <w:rPr>
          <w:rFonts w:ascii="Poppins" w:cs="Poppins" w:eastAsia="Poppins" w:hAnsi="Poppins"/>
        </w:rPr>
      </w:pPr>
      <w:r w:rsidDel="00000000" w:rsidR="00000000" w:rsidRPr="00000000">
        <w:rPr>
          <w:rtl w:val="0"/>
        </w:rPr>
      </w:r>
    </w:p>
    <w:p w:rsidR="00000000" w:rsidDel="00000000" w:rsidP="00000000" w:rsidRDefault="00000000" w:rsidRPr="00000000" w14:paraId="00000004">
      <w:pPr>
        <w:spacing w:after="120" w:before="240" w:lineRule="auto"/>
        <w:rPr>
          <w:rFonts w:ascii="Poppins" w:cs="Poppins" w:eastAsia="Poppins" w:hAnsi="Poppins"/>
          <w:b w:val="1"/>
          <w:bCs w:val="1"/>
          <w:color w:val="1f497d"/>
          <w:sz w:val="48"/>
          <w:szCs w:val="48"/>
        </w:rPr>
      </w:pPr>
      <w:r w:rsidDel="00000000" w:rsidR="00000000" w:rsidRPr="00000000">
        <w:rPr>
          <w:rtl w:val="0"/>
        </w:rPr>
      </w:r>
    </w:p>
    <w:p w:rsidR="00000000" w:rsidDel="00000000" w:rsidP="00000000" w:rsidRDefault="00000000" w:rsidRPr="00000000" w14:paraId="00000005">
      <w:pPr>
        <w:spacing w:after="120" w:before="240" w:lineRule="auto"/>
        <w:jc w:val="center"/>
        <w:rPr>
          <w:rFonts w:ascii="Poppins" w:cs="Poppins" w:eastAsia="Poppins" w:hAnsi="Poppins"/>
          <w:b w:val="1"/>
          <w:bCs w:val="1"/>
          <w:sz w:val="36"/>
          <w:szCs w:val="36"/>
        </w:rPr>
      </w:pPr>
      <w:r w:rsidDel="00000000" w:rsidR="00000000" w:rsidRPr="00000000">
        <w:rPr>
          <w:rFonts w:ascii="Poppins" w:cs="Poppins" w:eastAsia="Poppins" w:hAnsi="Poppins"/>
          <w:b w:val="1"/>
          <w:bCs w:val="1"/>
          <w:sz w:val="36"/>
          <w:szCs w:val="36"/>
          <w:rtl w:val="0"/>
        </w:rPr>
        <w:t xml:space="preserve">Autonomiser les jeunes ruraux : établir et renforcer le Parlement rural des jeunes en Afrique subsaharienne</w:t>
      </w:r>
    </w:p>
    <w:p w:rsidR="00000000" w:rsidDel="00000000" w:rsidP="00000000" w:rsidRDefault="00000000" w:rsidRPr="00000000" w14:paraId="00000006">
      <w:pPr>
        <w:spacing w:after="120" w:before="240" w:lineRule="auto"/>
        <w:jc w:val="center"/>
        <w:rPr>
          <w:rFonts w:ascii="Poppins" w:cs="Poppins" w:eastAsia="Poppins" w:hAnsi="Poppins"/>
          <w:color w:val="2f6b3a"/>
        </w:rPr>
      </w:pPr>
      <w:r w:rsidDel="00000000" w:rsidR="00000000" w:rsidRPr="00000000">
        <w:rPr>
          <w:rtl w:val="0"/>
        </w:rPr>
      </w:r>
    </w:p>
    <w:p w:rsidR="00000000" w:rsidDel="00000000" w:rsidP="00000000" w:rsidRDefault="00000000" w:rsidRPr="00000000" w14:paraId="00000007">
      <w:pPr>
        <w:spacing w:after="160" w:lineRule="auto"/>
        <w:jc w:val="center"/>
        <w:rPr>
          <w:rFonts w:ascii="Poppins" w:cs="Poppins" w:eastAsia="Poppins" w:hAnsi="Poppins"/>
        </w:rPr>
      </w:pPr>
      <w:r w:rsidDel="00000000" w:rsidR="00000000" w:rsidRPr="00000000">
        <w:rPr>
          <w:rFonts w:ascii="Poppins" w:cs="Poppins" w:eastAsia="Poppins" w:hAnsi="Poppins"/>
          <w:b w:val="1"/>
          <w:bCs w:val="1"/>
          <w:color w:val="277036"/>
          <w:sz w:val="40"/>
          <w:szCs w:val="40"/>
          <w:rtl w:val="0"/>
        </w:rPr>
        <w:t xml:space="preserve">Aperçu du projet EMPOWER+</w:t>
      </w:r>
      <w:r w:rsidDel="00000000" w:rsidR="00000000" w:rsidRPr="00000000">
        <w:rPr>
          <w:rtl w:val="0"/>
        </w:rPr>
      </w:r>
    </w:p>
    <w:p w:rsidR="00000000" w:rsidDel="00000000" w:rsidP="00000000" w:rsidRDefault="00000000" w:rsidRPr="00000000" w14:paraId="00000008">
      <w:pPr>
        <w:spacing w:after="80" w:lineRule="auto"/>
        <w:jc w:val="center"/>
        <w:rPr>
          <w:rFonts w:ascii="Poppins" w:cs="Poppins" w:eastAsia="Poppins" w:hAnsi="Poppins"/>
          <w:color w:val="2f6b3a"/>
          <w:sz w:val="48"/>
          <w:szCs w:val="48"/>
        </w:rPr>
      </w:pPr>
      <w:r w:rsidDel="00000000" w:rsidR="00000000" w:rsidRPr="00000000">
        <w:rPr>
          <w:rtl w:val="0"/>
        </w:rPr>
      </w:r>
    </w:p>
    <w:p w:rsidR="00000000" w:rsidDel="00000000" w:rsidP="00000000" w:rsidRDefault="00000000" w:rsidRPr="00000000" w14:paraId="00000009">
      <w:pPr>
        <w:spacing w:after="560" w:lineRule="auto"/>
        <w:jc w:val="center"/>
        <w:rPr>
          <w:rFonts w:ascii="Poppins" w:cs="Poppins" w:eastAsia="Poppins" w:hAnsi="Poppins"/>
        </w:rPr>
      </w:pPr>
      <w:r w:rsidDel="00000000" w:rsidR="00000000" w:rsidRPr="00000000">
        <w:rPr>
          <w:rFonts w:ascii="Poppins" w:cs="Poppins" w:eastAsia="Poppins" w:hAnsi="Poppins"/>
          <w:i w:val="1"/>
          <w:iCs w:val="1"/>
          <w:color w:val="aab98c"/>
          <w:sz w:val="32"/>
          <w:szCs w:val="32"/>
          <w:rtl w:val="0"/>
        </w:rPr>
        <w:t xml:space="preserve">Un aperçu de la participation des jeunes dans les pays SSAC</w:t>
      </w:r>
      <w:r w:rsidDel="00000000" w:rsidR="00000000" w:rsidRPr="00000000">
        <w:rPr>
          <w:rtl w:val="0"/>
        </w:rPr>
      </w:r>
    </w:p>
    <w:p w:rsidR="00000000" w:rsidDel="00000000" w:rsidP="00000000" w:rsidRDefault="00000000" w:rsidRPr="00000000" w14:paraId="0000000A">
      <w:pPr>
        <w:spacing w:after="20" w:lineRule="auto"/>
        <w:rPr>
          <w:rFonts w:ascii="Poppins" w:cs="Poppins" w:eastAsia="Poppins" w:hAnsi="Poppins"/>
        </w:rPr>
      </w:pPr>
      <w:r w:rsidDel="00000000" w:rsidR="00000000" w:rsidRPr="00000000">
        <w:rPr>
          <w:rFonts w:ascii="Poppins" w:cs="Poppins" w:eastAsia="Poppins" w:hAnsi="Poppins"/>
          <w:b w:val="1"/>
          <w:bCs w:val="1"/>
          <w:color w:val="277036"/>
          <w:rtl w:val="0"/>
        </w:rPr>
        <w:t xml:space="preserve">Programme :</w:t>
      </w:r>
      <w:r w:rsidDel="00000000" w:rsidR="00000000" w:rsidRPr="00000000">
        <w:rPr>
          <w:rFonts w:ascii="Poppins" w:cs="Poppins" w:eastAsia="Poppins" w:hAnsi="Poppins"/>
          <w:color w:val="000000"/>
          <w:rtl w:val="0"/>
        </w:rPr>
        <w:t xml:space="preserve"> Erasmus+ Renforcement des capacités dans le domaine de la jeunesse en Afrique subsaharienne</w:t>
      </w:r>
      <w:r w:rsidDel="00000000" w:rsidR="00000000" w:rsidRPr="00000000">
        <w:rPr>
          <w:rtl w:val="0"/>
        </w:rPr>
      </w:r>
    </w:p>
    <w:p w:rsidR="00000000" w:rsidDel="00000000" w:rsidP="00000000" w:rsidRDefault="00000000" w:rsidRPr="00000000" w14:paraId="0000000B">
      <w:pPr>
        <w:spacing w:after="20" w:lineRule="auto"/>
        <w:rPr>
          <w:rFonts w:ascii="Poppins" w:cs="Poppins" w:eastAsia="Poppins" w:hAnsi="Poppins"/>
        </w:rPr>
      </w:pPr>
      <w:r w:rsidDel="00000000" w:rsidR="00000000" w:rsidRPr="00000000">
        <w:rPr>
          <w:rFonts w:ascii="Poppins" w:cs="Poppins" w:eastAsia="Poppins" w:hAnsi="Poppins"/>
          <w:b w:val="1"/>
          <w:bCs w:val="1"/>
          <w:color w:val="277036"/>
          <w:rtl w:val="0"/>
        </w:rPr>
        <w:t xml:space="preserve">Appel :</w:t>
      </w:r>
      <w:r w:rsidDel="00000000" w:rsidR="00000000" w:rsidRPr="00000000">
        <w:rPr>
          <w:rFonts w:ascii="Poppins" w:cs="Poppins" w:eastAsia="Poppins" w:hAnsi="Poppins"/>
          <w:color w:val="000000"/>
          <w:rtl w:val="0"/>
        </w:rPr>
        <w:t xml:space="preserve"> ERASMUS-YOUTH-2025-CB-SSA</w:t>
      </w:r>
      <w:r w:rsidDel="00000000" w:rsidR="00000000" w:rsidRPr="00000000">
        <w:rPr>
          <w:rtl w:val="0"/>
        </w:rPr>
      </w:r>
    </w:p>
    <w:p w:rsidR="00000000" w:rsidDel="00000000" w:rsidP="00000000" w:rsidRDefault="00000000" w:rsidRPr="00000000" w14:paraId="0000000C">
      <w:pPr>
        <w:spacing w:after="20" w:lineRule="auto"/>
        <w:rPr>
          <w:rFonts w:ascii="Poppins" w:cs="Poppins" w:eastAsia="Poppins" w:hAnsi="Poppins"/>
        </w:rPr>
      </w:pPr>
      <w:r w:rsidDel="00000000" w:rsidR="00000000" w:rsidRPr="00000000">
        <w:rPr>
          <w:rFonts w:ascii="Poppins" w:cs="Poppins" w:eastAsia="Poppins" w:hAnsi="Poppins"/>
          <w:b w:val="1"/>
          <w:bCs w:val="1"/>
          <w:color w:val="277036"/>
          <w:rtl w:val="0"/>
        </w:rPr>
        <w:t xml:space="preserve">Numéro de projet :</w:t>
      </w:r>
      <w:r w:rsidDel="00000000" w:rsidR="00000000" w:rsidRPr="00000000">
        <w:rPr>
          <w:rFonts w:ascii="Poppins" w:cs="Poppins" w:eastAsia="Poppins" w:hAnsi="Poppins"/>
          <w:color w:val="000000"/>
          <w:rtl w:val="0"/>
        </w:rPr>
        <w:t xml:space="preserve"> 101243075</w:t>
      </w:r>
      <w:r w:rsidDel="00000000" w:rsidR="00000000" w:rsidRPr="00000000">
        <w:rPr>
          <w:rtl w:val="0"/>
        </w:rPr>
      </w:r>
    </w:p>
    <w:p w:rsidR="00000000" w:rsidDel="00000000" w:rsidP="00000000" w:rsidRDefault="00000000" w:rsidRPr="00000000" w14:paraId="0000000D">
      <w:pPr>
        <w:spacing w:after="20" w:lineRule="auto"/>
        <w:rPr>
          <w:rFonts w:ascii="Poppins" w:cs="Poppins" w:eastAsia="Poppins" w:hAnsi="Poppins"/>
        </w:rPr>
      </w:pPr>
      <w:r w:rsidDel="00000000" w:rsidR="00000000" w:rsidRPr="00000000">
        <w:rPr>
          <w:rFonts w:ascii="Poppins" w:cs="Poppins" w:eastAsia="Poppins" w:hAnsi="Poppins"/>
          <w:b w:val="1"/>
          <w:bCs w:val="1"/>
          <w:color w:val="277036"/>
          <w:rtl w:val="0"/>
        </w:rPr>
        <w:t xml:space="preserve">Financé par :</w:t>
      </w:r>
      <w:r w:rsidDel="00000000" w:rsidR="00000000" w:rsidRPr="00000000">
        <w:rPr>
          <w:rFonts w:ascii="Poppins" w:cs="Poppins" w:eastAsia="Poppins" w:hAnsi="Poppins"/>
          <w:color w:val="000000"/>
          <w:rtl w:val="0"/>
        </w:rPr>
        <w:t xml:space="preserve"> Union européenne, Programme Erasmus+</w:t>
      </w:r>
      <w:r w:rsidDel="00000000" w:rsidR="00000000" w:rsidRPr="00000000">
        <w:rPr>
          <w:rtl w:val="0"/>
        </w:rPr>
      </w:r>
    </w:p>
    <w:p w:rsidR="00000000" w:rsidDel="00000000" w:rsidP="00000000" w:rsidRDefault="00000000" w:rsidRPr="00000000" w14:paraId="0000000E">
      <w:pPr>
        <w:spacing w:after="20" w:lineRule="auto"/>
        <w:rPr>
          <w:rFonts w:ascii="Poppins" w:cs="Poppins" w:eastAsia="Poppins" w:hAnsi="Poppins"/>
        </w:rPr>
      </w:pPr>
      <w:r w:rsidDel="00000000" w:rsidR="00000000" w:rsidRPr="00000000">
        <w:rPr>
          <w:rFonts w:ascii="Poppins" w:cs="Poppins" w:eastAsia="Poppins" w:hAnsi="Poppins"/>
          <w:b w:val="1"/>
          <w:bCs w:val="1"/>
          <w:color w:val="277036"/>
          <w:rtl w:val="0"/>
        </w:rPr>
        <w:t xml:space="preserve">Lot de travail :</w:t>
      </w:r>
      <w:r w:rsidDel="00000000" w:rsidR="00000000" w:rsidRPr="00000000">
        <w:rPr>
          <w:rFonts w:ascii="Poppins" w:cs="Poppins" w:eastAsia="Poppins" w:hAnsi="Poppins"/>
          <w:color w:val="000000"/>
          <w:rtl w:val="0"/>
        </w:rPr>
        <w:t xml:space="preserve"> Lot de travail 2 : Cadre de politique jeunesse</w:t>
      </w:r>
      <w:r w:rsidDel="00000000" w:rsidR="00000000" w:rsidRPr="00000000">
        <w:rPr>
          <w:rtl w:val="0"/>
        </w:rPr>
      </w:r>
    </w:p>
    <w:p w:rsidR="00000000" w:rsidDel="00000000" w:rsidP="00000000" w:rsidRDefault="00000000" w:rsidRPr="00000000" w14:paraId="0000000F">
      <w:pPr>
        <w:spacing w:after="20" w:lineRule="auto"/>
        <w:rPr>
          <w:rFonts w:ascii="Poppins" w:cs="Poppins" w:eastAsia="Poppins" w:hAnsi="Poppins"/>
        </w:rPr>
      </w:pPr>
      <w:r w:rsidDel="00000000" w:rsidR="00000000" w:rsidRPr="00000000">
        <w:rPr>
          <w:rFonts w:ascii="Poppins" w:cs="Poppins" w:eastAsia="Poppins" w:hAnsi="Poppins"/>
          <w:b w:val="1"/>
          <w:bCs w:val="1"/>
          <w:color w:val="277036"/>
          <w:rtl w:val="0"/>
        </w:rPr>
        <w:t xml:space="preserve">Livrable :</w:t>
      </w:r>
      <w:r w:rsidDel="00000000" w:rsidR="00000000" w:rsidRPr="00000000">
        <w:rPr>
          <w:rFonts w:ascii="Poppins" w:cs="Poppins" w:eastAsia="Poppins" w:hAnsi="Poppins"/>
          <w:color w:val="000000"/>
          <w:rtl w:val="0"/>
        </w:rPr>
        <w:t xml:space="preserve"> D2.1 Rapport du projet EMPOWER+ : aperçu de la participation des jeunes dans les pays SSAC</w:t>
      </w:r>
      <w:r w:rsidDel="00000000" w:rsidR="00000000" w:rsidRPr="00000000">
        <w:rPr>
          <w:rtl w:val="0"/>
        </w:rPr>
      </w:r>
    </w:p>
    <w:p w:rsidR="00000000" w:rsidDel="00000000" w:rsidP="00000000" w:rsidRDefault="00000000" w:rsidRPr="00000000" w14:paraId="00000010">
      <w:pPr>
        <w:spacing w:after="20" w:lineRule="auto"/>
        <w:rPr>
          <w:rFonts w:ascii="Poppins" w:cs="Poppins" w:eastAsia="Poppins" w:hAnsi="Poppins"/>
        </w:rPr>
      </w:pPr>
      <w:r w:rsidDel="00000000" w:rsidR="00000000" w:rsidRPr="00000000">
        <w:rPr>
          <w:rFonts w:ascii="Poppins" w:cs="Poppins" w:eastAsia="Poppins" w:hAnsi="Poppins"/>
          <w:b w:val="1"/>
          <w:bCs w:val="1"/>
          <w:color w:val="277036"/>
          <w:rtl w:val="0"/>
        </w:rPr>
        <w:t xml:space="preserve">Partenaires :</w:t>
      </w:r>
      <w:r w:rsidDel="00000000" w:rsidR="00000000" w:rsidRPr="00000000">
        <w:rPr>
          <w:rFonts w:ascii="Poppins" w:cs="Poppins" w:eastAsia="Poppins" w:hAnsi="Poppins"/>
          <w:color w:val="000000"/>
          <w:rtl w:val="0"/>
        </w:rPr>
        <w:t xml:space="preserve"> LAG Napoca Porolissum (RO), Connectus (GR), A Rocca (IT), MFFR Maurice (MU), SSPL (NG), TIDC (BW), JMC (BW), CEMEA (MG)</w:t>
      </w:r>
      <w:r w:rsidDel="00000000" w:rsidR="00000000" w:rsidRPr="00000000">
        <w:rPr>
          <w:rtl w:val="0"/>
        </w:rPr>
      </w:r>
    </w:p>
    <w:p w:rsidR="00000000" w:rsidDel="00000000" w:rsidP="00000000" w:rsidRDefault="00000000" w:rsidRPr="00000000" w14:paraId="00000011">
      <w:pPr>
        <w:spacing w:after="20" w:lineRule="auto"/>
        <w:rPr>
          <w:rFonts w:ascii="Poppins" w:cs="Poppins" w:eastAsia="Poppins" w:hAnsi="Poppins"/>
        </w:rPr>
      </w:pPr>
      <w:r w:rsidDel="00000000" w:rsidR="00000000" w:rsidRPr="00000000">
        <w:rPr>
          <w:rFonts w:ascii="Poppins" w:cs="Poppins" w:eastAsia="Poppins" w:hAnsi="Poppins"/>
          <w:b w:val="1"/>
          <w:bCs w:val="1"/>
          <w:color w:val="277036"/>
          <w:rtl w:val="0"/>
        </w:rPr>
        <w:t xml:space="preserve">Pays :</w:t>
      </w:r>
      <w:r w:rsidDel="00000000" w:rsidR="00000000" w:rsidRPr="00000000">
        <w:rPr>
          <w:rFonts w:ascii="Poppins" w:cs="Poppins" w:eastAsia="Poppins" w:hAnsi="Poppins"/>
          <w:color w:val="000000"/>
          <w:rtl w:val="0"/>
        </w:rPr>
        <w:t xml:space="preserve"> Botswana, Madagascar, Maurice, Nigeria, Grèce, Italie, Roumanie</w:t>
      </w:r>
      <w:r w:rsidDel="00000000" w:rsidR="00000000" w:rsidRPr="00000000">
        <w:rPr>
          <w:rtl w:val="0"/>
        </w:rPr>
      </w:r>
    </w:p>
    <w:p w:rsidR="00000000" w:rsidDel="00000000" w:rsidP="00000000" w:rsidRDefault="00000000" w:rsidRPr="00000000" w14:paraId="00000012">
      <w:pPr>
        <w:spacing w:after="20" w:lineRule="auto"/>
        <w:rPr>
          <w:rFonts w:ascii="Poppins" w:cs="Poppins" w:eastAsia="Poppins" w:hAnsi="Poppins"/>
        </w:rPr>
      </w:pPr>
      <w:r w:rsidDel="00000000" w:rsidR="00000000" w:rsidRPr="00000000">
        <w:rPr>
          <w:rFonts w:ascii="Poppins" w:cs="Poppins" w:eastAsia="Poppins" w:hAnsi="Poppins"/>
          <w:b w:val="1"/>
          <w:bCs w:val="1"/>
          <w:color w:val="277036"/>
          <w:rtl w:val="0"/>
        </w:rPr>
        <w:t xml:space="preserve">Auteur :</w:t>
      </w:r>
      <w:r w:rsidDel="00000000" w:rsidR="00000000" w:rsidRPr="00000000">
        <w:rPr>
          <w:rFonts w:ascii="Poppins" w:cs="Poppins" w:eastAsia="Poppins" w:hAnsi="Poppins"/>
          <w:color w:val="000000"/>
          <w:rtl w:val="0"/>
        </w:rPr>
        <w:t xml:space="preserve"> Connectus (GR)</w:t>
      </w:r>
      <w:r w:rsidDel="00000000" w:rsidR="00000000" w:rsidRPr="00000000">
        <w:rPr>
          <w:rtl w:val="0"/>
        </w:rPr>
      </w:r>
    </w:p>
    <w:p w:rsidR="00000000" w:rsidDel="00000000" w:rsidP="00000000" w:rsidRDefault="00000000" w:rsidRPr="00000000" w14:paraId="00000013">
      <w:pPr>
        <w:spacing w:after="20" w:lineRule="auto"/>
        <w:rPr>
          <w:rFonts w:ascii="Poppins" w:cs="Poppins" w:eastAsia="Poppins" w:hAnsi="Poppins"/>
        </w:rPr>
      </w:pPr>
      <w:r w:rsidDel="00000000" w:rsidR="00000000" w:rsidRPr="00000000">
        <w:rPr>
          <w:rFonts w:ascii="Poppins" w:cs="Poppins" w:eastAsia="Poppins" w:hAnsi="Poppins"/>
          <w:b w:val="1"/>
          <w:bCs w:val="1"/>
          <w:color w:val="277036"/>
          <w:rtl w:val="0"/>
        </w:rPr>
        <w:t xml:space="preserve">Version / Date :</w:t>
      </w:r>
      <w:r w:rsidDel="00000000" w:rsidR="00000000" w:rsidRPr="00000000">
        <w:rPr>
          <w:rFonts w:ascii="Poppins" w:cs="Poppins" w:eastAsia="Poppins" w:hAnsi="Poppins"/>
          <w:color w:val="000000"/>
          <w:rtl w:val="0"/>
        </w:rPr>
        <w:t xml:space="preserve"> Version 1.0, mai 2026</w:t>
      </w:r>
      <w:r w:rsidDel="00000000" w:rsidR="00000000" w:rsidRPr="00000000">
        <w:rPr>
          <w:rtl w:val="0"/>
        </w:rPr>
      </w:r>
    </w:p>
    <w:p w:rsidR="00000000" w:rsidDel="00000000" w:rsidP="00000000" w:rsidRDefault="00000000" w:rsidRPr="00000000" w14:paraId="00000014">
      <w:pPr>
        <w:spacing w:after="40" w:before="40" w:lineRule="auto"/>
        <w:jc w:val="both"/>
        <w:rPr>
          <w:rFonts w:ascii="Poppins" w:cs="Poppins" w:eastAsia="Poppins" w:hAnsi="Poppins"/>
        </w:rPr>
        <w:sectPr>
          <w:footerReference r:id="rId8" w:type="default"/>
          <w:footerReference r:id="rId9" w:type="first"/>
          <w:pgSz w:h="16834" w:w="11909" w:orient="portrait"/>
          <w:pgMar w:bottom="1440" w:top="3124" w:left="849" w:right="1440" w:header="720" w:footer="720"/>
          <w:pgNumType w:start="1"/>
        </w:sectPr>
      </w:pPr>
      <w:r w:rsidDel="00000000" w:rsidR="00000000" w:rsidRPr="00000000">
        <w:rPr>
          <w:rFonts w:ascii="Poppins" w:cs="Poppins" w:eastAsia="Poppins" w:hAnsi="Poppins"/>
        </w:rPr>
        <w:drawing>
          <wp:anchor allowOverlap="1" behindDoc="0" distB="0" distT="0" distL="0" distR="0" hidden="0" layoutInCell="1" locked="0" relativeHeight="0" simplePos="0">
            <wp:simplePos x="0" y="0"/>
            <wp:positionH relativeFrom="leftMargin">
              <wp:posOffset>0</wp:posOffset>
            </wp:positionH>
            <wp:positionV relativeFrom="page">
              <wp:posOffset>13071601</wp:posOffset>
            </wp:positionV>
            <wp:extent cx="8796528" cy="805080"/>
            <wp:effectExtent b="0" l="0" r="0" t="0"/>
            <wp:wrapTopAndBottom distB="0" distT="0"/>
            <wp:docPr id="4" name="image2.png"/>
            <a:graphic>
              <a:graphicData uri="http://schemas.openxmlformats.org/drawingml/2006/picture">
                <pic:pic>
                  <pic:nvPicPr>
                    <pic:cNvPr id="0" name="image2.png"/>
                    <pic:cNvPicPr preferRelativeResize="0"/>
                  </pic:nvPicPr>
                  <pic:blipFill>
                    <a:blip r:embed="rId10"/>
                    <a:srcRect b="0" l="0" r="0" t="0"/>
                    <a:stretch>
                      <a:fillRect/>
                    </a:stretch>
                  </pic:blipFill>
                  <pic:spPr>
                    <a:xfrm>
                      <a:off x="0" y="0"/>
                      <a:ext cx="8796528" cy="805080"/>
                    </a:xfrm>
                    <a:prstGeom prst="rect"/>
                    <a:ln/>
                  </pic:spPr>
                </pic:pic>
              </a:graphicData>
            </a:graphic>
          </wp:anchor>
        </w:drawing>
      </w:r>
      <w:r w:rsidDel="00000000" w:rsidR="00000000" w:rsidRPr="00000000">
        <w:rPr>
          <w:rtl w:val="0"/>
        </w:rPr>
      </w:r>
    </w:p>
    <w:p w:rsidR="00000000" w:rsidDel="00000000" w:rsidP="00000000" w:rsidRDefault="00000000" w:rsidRPr="00000000" w14:paraId="00000015">
      <w:pPr>
        <w:spacing w:after="160" w:lineRule="auto"/>
        <w:rPr>
          <w:rFonts w:ascii="Poppins" w:cs="Poppins" w:eastAsia="Poppins" w:hAnsi="Poppins"/>
        </w:rPr>
      </w:pPr>
      <w:r w:rsidDel="00000000" w:rsidR="00000000" w:rsidRPr="00000000">
        <w:rPr>
          <w:rFonts w:ascii="Poppins" w:cs="Poppins" w:eastAsia="Poppins" w:hAnsi="Poppins"/>
          <w:b w:val="1"/>
          <w:bCs w:val="1"/>
          <w:color w:val="2f6b3a"/>
          <w:sz w:val="44"/>
          <w:szCs w:val="44"/>
          <w:rtl w:val="0"/>
        </w:rPr>
        <w:t xml:space="preserve">Table des matières</w:t>
      </w:r>
      <w:r w:rsidDel="00000000" w:rsidR="00000000" w:rsidRPr="00000000">
        <w:rPr>
          <w:rtl w:val="0"/>
        </w:rPr>
      </w:r>
    </w:p>
    <w:p w:rsidR="00000000" w:rsidDel="00000000" w:rsidP="00000000" w:rsidRDefault="00000000" w:rsidRPr="00000000" w14:paraId="00000016">
      <w:pPr>
        <w:tabs>
          <w:tab w:val="right" w:leader="none" w:pos="9720"/>
        </w:tabs>
        <w:spacing w:after="60" w:line="240" w:lineRule="auto"/>
        <w:rPr>
          <w:rFonts w:ascii="Poppins" w:cs="Poppins" w:eastAsia="Poppins" w:hAnsi="Poppins"/>
        </w:rPr>
      </w:pPr>
      <w:r w:rsidDel="00000000" w:rsidR="00000000" w:rsidRPr="00000000">
        <w:rPr>
          <w:rFonts w:ascii="Poppins" w:cs="Poppins" w:eastAsia="Poppins" w:hAnsi="Poppins"/>
          <w:color w:val="000000"/>
          <w:sz w:val="21"/>
          <w:szCs w:val="21"/>
          <w:rtl w:val="0"/>
        </w:rPr>
        <w:t xml:space="preserve">Résumé exécutif</w:t>
        <w:tab/>
        <w:t xml:space="preserve">3</w:t>
      </w:r>
      <w:r w:rsidDel="00000000" w:rsidR="00000000" w:rsidRPr="00000000">
        <w:rPr>
          <w:rtl w:val="0"/>
        </w:rPr>
      </w:r>
    </w:p>
    <w:p w:rsidR="00000000" w:rsidDel="00000000" w:rsidP="00000000" w:rsidRDefault="00000000" w:rsidRPr="00000000" w14:paraId="00000017">
      <w:pPr>
        <w:tabs>
          <w:tab w:val="right" w:leader="none" w:pos="9720"/>
        </w:tabs>
        <w:spacing w:after="60" w:line="240" w:lineRule="auto"/>
        <w:ind w:left="259" w:firstLine="0"/>
        <w:rPr>
          <w:rFonts w:ascii="Poppins" w:cs="Poppins" w:eastAsia="Poppins" w:hAnsi="Poppins"/>
        </w:rPr>
      </w:pPr>
      <w:r w:rsidDel="00000000" w:rsidR="00000000" w:rsidRPr="00000000">
        <w:rPr>
          <w:rFonts w:ascii="Poppins" w:cs="Poppins" w:eastAsia="Poppins" w:hAnsi="Poppins"/>
          <w:color w:val="000000"/>
          <w:sz w:val="21"/>
          <w:szCs w:val="21"/>
          <w:rtl w:val="0"/>
        </w:rPr>
        <w:t xml:space="preserve">Cinq messages clés</w:t>
        <w:tab/>
        <w:t xml:space="preserve">3</w:t>
      </w:r>
      <w:r w:rsidDel="00000000" w:rsidR="00000000" w:rsidRPr="00000000">
        <w:rPr>
          <w:rtl w:val="0"/>
        </w:rPr>
      </w:r>
    </w:p>
    <w:p w:rsidR="00000000" w:rsidDel="00000000" w:rsidP="00000000" w:rsidRDefault="00000000" w:rsidRPr="00000000" w14:paraId="00000018">
      <w:pPr>
        <w:tabs>
          <w:tab w:val="right" w:leader="none" w:pos="9720"/>
        </w:tabs>
        <w:spacing w:after="60" w:line="240" w:lineRule="auto"/>
        <w:ind w:left="259" w:firstLine="0"/>
        <w:rPr>
          <w:rFonts w:ascii="Poppins" w:cs="Poppins" w:eastAsia="Poppins" w:hAnsi="Poppins"/>
        </w:rPr>
      </w:pPr>
      <w:r w:rsidDel="00000000" w:rsidR="00000000" w:rsidRPr="00000000">
        <w:rPr>
          <w:rFonts w:ascii="Poppins" w:cs="Poppins" w:eastAsia="Poppins" w:hAnsi="Poppins"/>
          <w:color w:val="000000"/>
          <w:sz w:val="21"/>
          <w:szCs w:val="21"/>
          <w:rtl w:val="0"/>
        </w:rPr>
        <w:t xml:space="preserve">Six recommandations principales</w:t>
        <w:tab/>
        <w:t xml:space="preserve">4</w:t>
      </w:r>
      <w:r w:rsidDel="00000000" w:rsidR="00000000" w:rsidRPr="00000000">
        <w:rPr>
          <w:rtl w:val="0"/>
        </w:rPr>
      </w:r>
    </w:p>
    <w:p w:rsidR="00000000" w:rsidDel="00000000" w:rsidP="00000000" w:rsidRDefault="00000000" w:rsidRPr="00000000" w14:paraId="00000019">
      <w:pPr>
        <w:tabs>
          <w:tab w:val="right" w:leader="none" w:pos="9720"/>
        </w:tabs>
        <w:spacing w:after="60" w:line="240" w:lineRule="auto"/>
        <w:rPr>
          <w:rFonts w:ascii="Poppins" w:cs="Poppins" w:eastAsia="Poppins" w:hAnsi="Poppins"/>
        </w:rPr>
      </w:pPr>
      <w:r w:rsidDel="00000000" w:rsidR="00000000" w:rsidRPr="00000000">
        <w:rPr>
          <w:rFonts w:ascii="Poppins" w:cs="Poppins" w:eastAsia="Poppins" w:hAnsi="Poppins"/>
          <w:color w:val="000000"/>
          <w:sz w:val="21"/>
          <w:szCs w:val="21"/>
          <w:rtl w:val="0"/>
        </w:rPr>
        <w:t xml:space="preserve">1. Introduction</w:t>
        <w:tab/>
        <w:t xml:space="preserve">6</w:t>
      </w:r>
      <w:r w:rsidDel="00000000" w:rsidR="00000000" w:rsidRPr="00000000">
        <w:rPr>
          <w:rtl w:val="0"/>
        </w:rPr>
      </w:r>
    </w:p>
    <w:p w:rsidR="00000000" w:rsidDel="00000000" w:rsidP="00000000" w:rsidRDefault="00000000" w:rsidRPr="00000000" w14:paraId="0000001A">
      <w:pPr>
        <w:tabs>
          <w:tab w:val="right" w:leader="none" w:pos="9720"/>
        </w:tabs>
        <w:spacing w:after="60" w:line="240" w:lineRule="auto"/>
        <w:ind w:left="259" w:firstLine="0"/>
        <w:rPr>
          <w:rFonts w:ascii="Poppins" w:cs="Poppins" w:eastAsia="Poppins" w:hAnsi="Poppins"/>
        </w:rPr>
      </w:pPr>
      <w:r w:rsidDel="00000000" w:rsidR="00000000" w:rsidRPr="00000000">
        <w:rPr>
          <w:rFonts w:ascii="Poppins" w:cs="Poppins" w:eastAsia="Poppins" w:hAnsi="Poppins"/>
          <w:color w:val="000000"/>
          <w:sz w:val="21"/>
          <w:szCs w:val="21"/>
          <w:rtl w:val="0"/>
        </w:rPr>
        <w:t xml:space="preserve">1.1 Le projet EMPOWER+ : contexte et justification</w:t>
        <w:tab/>
        <w:t xml:space="preserve">6</w:t>
      </w:r>
      <w:r w:rsidDel="00000000" w:rsidR="00000000" w:rsidRPr="00000000">
        <w:rPr>
          <w:rtl w:val="0"/>
        </w:rPr>
      </w:r>
    </w:p>
    <w:p w:rsidR="00000000" w:rsidDel="00000000" w:rsidP="00000000" w:rsidRDefault="00000000" w:rsidRPr="00000000" w14:paraId="0000001B">
      <w:pPr>
        <w:tabs>
          <w:tab w:val="right" w:leader="none" w:pos="9720"/>
        </w:tabs>
        <w:spacing w:after="60" w:line="240" w:lineRule="auto"/>
        <w:ind w:left="259" w:firstLine="0"/>
        <w:rPr>
          <w:rFonts w:ascii="Poppins" w:cs="Poppins" w:eastAsia="Poppins" w:hAnsi="Poppins"/>
        </w:rPr>
      </w:pPr>
      <w:r w:rsidDel="00000000" w:rsidR="00000000" w:rsidRPr="00000000">
        <w:rPr>
          <w:rFonts w:ascii="Poppins" w:cs="Poppins" w:eastAsia="Poppins" w:hAnsi="Poppins"/>
          <w:color w:val="000000"/>
          <w:sz w:val="21"/>
          <w:szCs w:val="21"/>
          <w:rtl w:val="0"/>
        </w:rPr>
        <w:t xml:space="preserve">1.2 Composition du consortium</w:t>
        <w:tab/>
        <w:t xml:space="preserve">6</w:t>
      </w:r>
      <w:r w:rsidDel="00000000" w:rsidR="00000000" w:rsidRPr="00000000">
        <w:rPr>
          <w:rtl w:val="0"/>
        </w:rPr>
      </w:r>
    </w:p>
    <w:p w:rsidR="00000000" w:rsidDel="00000000" w:rsidP="00000000" w:rsidRDefault="00000000" w:rsidRPr="00000000" w14:paraId="0000001C">
      <w:pPr>
        <w:tabs>
          <w:tab w:val="right" w:leader="none" w:pos="9720"/>
        </w:tabs>
        <w:spacing w:after="60" w:line="240" w:lineRule="auto"/>
        <w:ind w:left="259" w:firstLine="0"/>
        <w:rPr>
          <w:rFonts w:ascii="Poppins" w:cs="Poppins" w:eastAsia="Poppins" w:hAnsi="Poppins"/>
        </w:rPr>
      </w:pPr>
      <w:r w:rsidDel="00000000" w:rsidR="00000000" w:rsidRPr="00000000">
        <w:rPr>
          <w:rFonts w:ascii="Poppins" w:cs="Poppins" w:eastAsia="Poppins" w:hAnsi="Poppins"/>
          <w:color w:val="000000"/>
          <w:sz w:val="21"/>
          <w:szCs w:val="21"/>
          <w:rtl w:val="0"/>
        </w:rPr>
        <w:t xml:space="preserve">1.3 Objet et portée du présent rapport</w:t>
        <w:tab/>
        <w:t xml:space="preserve">7</w:t>
      </w:r>
      <w:r w:rsidDel="00000000" w:rsidR="00000000" w:rsidRPr="00000000">
        <w:rPr>
          <w:rtl w:val="0"/>
        </w:rPr>
      </w:r>
    </w:p>
    <w:p w:rsidR="00000000" w:rsidDel="00000000" w:rsidP="00000000" w:rsidRDefault="00000000" w:rsidRPr="00000000" w14:paraId="0000001D">
      <w:pPr>
        <w:tabs>
          <w:tab w:val="right" w:leader="none" w:pos="9720"/>
        </w:tabs>
        <w:spacing w:after="60" w:line="240" w:lineRule="auto"/>
        <w:ind w:left="259" w:firstLine="0"/>
        <w:rPr>
          <w:rFonts w:ascii="Poppins" w:cs="Poppins" w:eastAsia="Poppins" w:hAnsi="Poppins"/>
        </w:rPr>
      </w:pPr>
      <w:r w:rsidDel="00000000" w:rsidR="00000000" w:rsidRPr="00000000">
        <w:rPr>
          <w:rFonts w:ascii="Poppins" w:cs="Poppins" w:eastAsia="Poppins" w:hAnsi="Poppins"/>
          <w:color w:val="000000"/>
          <w:sz w:val="21"/>
          <w:szCs w:val="21"/>
          <w:rtl w:val="0"/>
        </w:rPr>
        <w:t xml:space="preserve">1.4 Méthodologie de la synthèse</w:t>
        <w:tab/>
        <w:t xml:space="preserve">7</w:t>
      </w:r>
      <w:r w:rsidDel="00000000" w:rsidR="00000000" w:rsidRPr="00000000">
        <w:rPr>
          <w:rtl w:val="0"/>
        </w:rPr>
      </w:r>
    </w:p>
    <w:p w:rsidR="00000000" w:rsidDel="00000000" w:rsidP="00000000" w:rsidRDefault="00000000" w:rsidRPr="00000000" w14:paraId="0000001E">
      <w:pPr>
        <w:tabs>
          <w:tab w:val="right" w:leader="none" w:pos="9720"/>
        </w:tabs>
        <w:spacing w:after="60" w:line="240" w:lineRule="auto"/>
        <w:ind w:left="259" w:firstLine="0"/>
        <w:rPr>
          <w:rFonts w:ascii="Poppins" w:cs="Poppins" w:eastAsia="Poppins" w:hAnsi="Poppins"/>
        </w:rPr>
      </w:pPr>
      <w:r w:rsidDel="00000000" w:rsidR="00000000" w:rsidRPr="00000000">
        <w:rPr>
          <w:rFonts w:ascii="Poppins" w:cs="Poppins" w:eastAsia="Poppins" w:hAnsi="Poppins"/>
          <w:color w:val="000000"/>
          <w:sz w:val="21"/>
          <w:szCs w:val="21"/>
          <w:rtl w:val="0"/>
        </w:rPr>
        <w:t xml:space="preserve">1.5 Aperçu des pays partenaires</w:t>
        <w:tab/>
        <w:t xml:space="preserve">7</w:t>
      </w:r>
      <w:r w:rsidDel="00000000" w:rsidR="00000000" w:rsidRPr="00000000">
        <w:rPr>
          <w:rtl w:val="0"/>
        </w:rPr>
      </w:r>
    </w:p>
    <w:p w:rsidR="00000000" w:rsidDel="00000000" w:rsidP="00000000" w:rsidRDefault="00000000" w:rsidRPr="00000000" w14:paraId="0000001F">
      <w:pPr>
        <w:tabs>
          <w:tab w:val="right" w:leader="none" w:pos="9720"/>
        </w:tabs>
        <w:spacing w:after="60" w:line="240" w:lineRule="auto"/>
        <w:rPr>
          <w:rFonts w:ascii="Poppins" w:cs="Poppins" w:eastAsia="Poppins" w:hAnsi="Poppins"/>
        </w:rPr>
      </w:pPr>
      <w:r w:rsidDel="00000000" w:rsidR="00000000" w:rsidRPr="00000000">
        <w:rPr>
          <w:rFonts w:ascii="Poppins" w:cs="Poppins" w:eastAsia="Poppins" w:hAnsi="Poppins"/>
          <w:color w:val="000000"/>
          <w:sz w:val="21"/>
          <w:szCs w:val="21"/>
          <w:rtl w:val="0"/>
        </w:rPr>
        <w:t xml:space="preserve">2. Résultats nationaux de la tâche 2.1 : ressources, cadres et lacunes</w:t>
        <w:tab/>
        <w:t xml:space="preserve">8</w:t>
      </w:r>
      <w:r w:rsidDel="00000000" w:rsidR="00000000" w:rsidRPr="00000000">
        <w:rPr>
          <w:rtl w:val="0"/>
        </w:rPr>
      </w:r>
    </w:p>
    <w:p w:rsidR="00000000" w:rsidDel="00000000" w:rsidP="00000000" w:rsidRDefault="00000000" w:rsidRPr="00000000" w14:paraId="00000020">
      <w:pPr>
        <w:tabs>
          <w:tab w:val="right" w:leader="none" w:pos="9720"/>
        </w:tabs>
        <w:spacing w:after="60" w:line="240" w:lineRule="auto"/>
        <w:ind w:left="259" w:firstLine="0"/>
        <w:rPr>
          <w:rFonts w:ascii="Poppins" w:cs="Poppins" w:eastAsia="Poppins" w:hAnsi="Poppins"/>
        </w:rPr>
      </w:pPr>
      <w:r w:rsidDel="00000000" w:rsidR="00000000" w:rsidRPr="00000000">
        <w:rPr>
          <w:rFonts w:ascii="Poppins" w:cs="Poppins" w:eastAsia="Poppins" w:hAnsi="Poppins"/>
          <w:color w:val="000000"/>
          <w:sz w:val="21"/>
          <w:szCs w:val="21"/>
          <w:rtl w:val="0"/>
        </w:rPr>
        <w:t xml:space="preserve">2.1 Pays partenaires d’Afrique subsaharienne</w:t>
        <w:tab/>
        <w:t xml:space="preserve">8</w:t>
      </w:r>
      <w:r w:rsidDel="00000000" w:rsidR="00000000" w:rsidRPr="00000000">
        <w:rPr>
          <w:rtl w:val="0"/>
        </w:rPr>
      </w:r>
    </w:p>
    <w:p w:rsidR="00000000" w:rsidDel="00000000" w:rsidP="00000000" w:rsidRDefault="00000000" w:rsidRPr="00000000" w14:paraId="00000021">
      <w:pPr>
        <w:tabs>
          <w:tab w:val="right" w:leader="none" w:pos="9720"/>
        </w:tabs>
        <w:spacing w:after="60" w:line="240" w:lineRule="auto"/>
        <w:ind w:left="518" w:firstLine="0"/>
        <w:rPr>
          <w:rFonts w:ascii="Poppins" w:cs="Poppins" w:eastAsia="Poppins" w:hAnsi="Poppins"/>
        </w:rPr>
      </w:pPr>
      <w:r w:rsidDel="00000000" w:rsidR="00000000" w:rsidRPr="00000000">
        <w:rPr>
          <w:rFonts w:ascii="Poppins" w:cs="Poppins" w:eastAsia="Poppins" w:hAnsi="Poppins"/>
          <w:color w:val="000000"/>
          <w:sz w:val="21"/>
          <w:szCs w:val="21"/>
          <w:rtl w:val="0"/>
        </w:rPr>
        <w:t xml:space="preserve">2.1.1 Botswana</w:t>
        <w:tab/>
        <w:t xml:space="preserve">8</w:t>
      </w:r>
      <w:r w:rsidDel="00000000" w:rsidR="00000000" w:rsidRPr="00000000">
        <w:rPr>
          <w:rtl w:val="0"/>
        </w:rPr>
      </w:r>
    </w:p>
    <w:p w:rsidR="00000000" w:rsidDel="00000000" w:rsidP="00000000" w:rsidRDefault="00000000" w:rsidRPr="00000000" w14:paraId="00000022">
      <w:pPr>
        <w:tabs>
          <w:tab w:val="right" w:leader="none" w:pos="9720"/>
        </w:tabs>
        <w:spacing w:after="60" w:line="240" w:lineRule="auto"/>
        <w:ind w:left="518" w:firstLine="0"/>
        <w:rPr>
          <w:rFonts w:ascii="Poppins" w:cs="Poppins" w:eastAsia="Poppins" w:hAnsi="Poppins"/>
        </w:rPr>
      </w:pPr>
      <w:r w:rsidDel="00000000" w:rsidR="00000000" w:rsidRPr="00000000">
        <w:rPr>
          <w:rFonts w:ascii="Poppins" w:cs="Poppins" w:eastAsia="Poppins" w:hAnsi="Poppins"/>
          <w:color w:val="000000"/>
          <w:sz w:val="21"/>
          <w:szCs w:val="21"/>
          <w:rtl w:val="0"/>
        </w:rPr>
        <w:t xml:space="preserve">2.1.2 Madagascar</w:t>
        <w:tab/>
        <w:t xml:space="preserve">10</w:t>
      </w:r>
      <w:r w:rsidDel="00000000" w:rsidR="00000000" w:rsidRPr="00000000">
        <w:rPr>
          <w:rtl w:val="0"/>
        </w:rPr>
      </w:r>
    </w:p>
    <w:p w:rsidR="00000000" w:rsidDel="00000000" w:rsidP="00000000" w:rsidRDefault="00000000" w:rsidRPr="00000000" w14:paraId="00000023">
      <w:pPr>
        <w:tabs>
          <w:tab w:val="right" w:leader="none" w:pos="9720"/>
        </w:tabs>
        <w:spacing w:after="60" w:line="240" w:lineRule="auto"/>
        <w:ind w:left="518" w:firstLine="0"/>
        <w:rPr>
          <w:rFonts w:ascii="Poppins" w:cs="Poppins" w:eastAsia="Poppins" w:hAnsi="Poppins"/>
        </w:rPr>
      </w:pPr>
      <w:r w:rsidDel="00000000" w:rsidR="00000000" w:rsidRPr="00000000">
        <w:rPr>
          <w:rFonts w:ascii="Poppins" w:cs="Poppins" w:eastAsia="Poppins" w:hAnsi="Poppins"/>
          <w:color w:val="000000"/>
          <w:sz w:val="21"/>
          <w:szCs w:val="21"/>
          <w:rtl w:val="0"/>
        </w:rPr>
        <w:t xml:space="preserve">2.1.3 Maurice</w:t>
        <w:tab/>
        <w:t xml:space="preserve">11</w:t>
      </w:r>
      <w:r w:rsidDel="00000000" w:rsidR="00000000" w:rsidRPr="00000000">
        <w:rPr>
          <w:rtl w:val="0"/>
        </w:rPr>
      </w:r>
    </w:p>
    <w:p w:rsidR="00000000" w:rsidDel="00000000" w:rsidP="00000000" w:rsidRDefault="00000000" w:rsidRPr="00000000" w14:paraId="00000024">
      <w:pPr>
        <w:tabs>
          <w:tab w:val="right" w:leader="none" w:pos="9720"/>
        </w:tabs>
        <w:spacing w:after="60" w:line="240" w:lineRule="auto"/>
        <w:ind w:left="518" w:firstLine="0"/>
        <w:rPr>
          <w:rFonts w:ascii="Poppins" w:cs="Poppins" w:eastAsia="Poppins" w:hAnsi="Poppins"/>
        </w:rPr>
      </w:pPr>
      <w:r w:rsidDel="00000000" w:rsidR="00000000" w:rsidRPr="00000000">
        <w:rPr>
          <w:rFonts w:ascii="Poppins" w:cs="Poppins" w:eastAsia="Poppins" w:hAnsi="Poppins"/>
          <w:color w:val="000000"/>
          <w:sz w:val="21"/>
          <w:szCs w:val="21"/>
          <w:rtl w:val="0"/>
        </w:rPr>
        <w:t xml:space="preserve">2.1.4 Nigeria</w:t>
        <w:tab/>
        <w:t xml:space="preserve">12</w:t>
      </w:r>
      <w:r w:rsidDel="00000000" w:rsidR="00000000" w:rsidRPr="00000000">
        <w:rPr>
          <w:rtl w:val="0"/>
        </w:rPr>
      </w:r>
    </w:p>
    <w:p w:rsidR="00000000" w:rsidDel="00000000" w:rsidP="00000000" w:rsidRDefault="00000000" w:rsidRPr="00000000" w14:paraId="00000025">
      <w:pPr>
        <w:tabs>
          <w:tab w:val="right" w:leader="none" w:pos="9720"/>
        </w:tabs>
        <w:spacing w:after="60" w:line="240" w:lineRule="auto"/>
        <w:ind w:left="259" w:firstLine="0"/>
        <w:rPr>
          <w:rFonts w:ascii="Poppins" w:cs="Poppins" w:eastAsia="Poppins" w:hAnsi="Poppins"/>
        </w:rPr>
      </w:pPr>
      <w:r w:rsidDel="00000000" w:rsidR="00000000" w:rsidRPr="00000000">
        <w:rPr>
          <w:rFonts w:ascii="Poppins" w:cs="Poppins" w:eastAsia="Poppins" w:hAnsi="Poppins"/>
          <w:color w:val="000000"/>
          <w:sz w:val="21"/>
          <w:szCs w:val="21"/>
          <w:rtl w:val="0"/>
        </w:rPr>
        <w:t xml:space="preserve">2.2 Pays partenaires européens</w:t>
        <w:tab/>
        <w:t xml:space="preserve">13</w:t>
      </w:r>
      <w:r w:rsidDel="00000000" w:rsidR="00000000" w:rsidRPr="00000000">
        <w:rPr>
          <w:rtl w:val="0"/>
        </w:rPr>
      </w:r>
    </w:p>
    <w:p w:rsidR="00000000" w:rsidDel="00000000" w:rsidP="00000000" w:rsidRDefault="00000000" w:rsidRPr="00000000" w14:paraId="00000026">
      <w:pPr>
        <w:tabs>
          <w:tab w:val="right" w:leader="none" w:pos="9720"/>
        </w:tabs>
        <w:spacing w:after="60" w:line="240" w:lineRule="auto"/>
        <w:ind w:left="518" w:firstLine="0"/>
        <w:rPr>
          <w:rFonts w:ascii="Poppins" w:cs="Poppins" w:eastAsia="Poppins" w:hAnsi="Poppins"/>
        </w:rPr>
      </w:pPr>
      <w:r w:rsidDel="00000000" w:rsidR="00000000" w:rsidRPr="00000000">
        <w:rPr>
          <w:rFonts w:ascii="Poppins" w:cs="Poppins" w:eastAsia="Poppins" w:hAnsi="Poppins"/>
          <w:color w:val="000000"/>
          <w:sz w:val="21"/>
          <w:szCs w:val="21"/>
          <w:rtl w:val="0"/>
        </w:rPr>
        <w:t xml:space="preserve">2.2.1 Grèce</w:t>
        <w:tab/>
        <w:t xml:space="preserve">13</w:t>
      </w:r>
      <w:r w:rsidDel="00000000" w:rsidR="00000000" w:rsidRPr="00000000">
        <w:rPr>
          <w:rtl w:val="0"/>
        </w:rPr>
      </w:r>
    </w:p>
    <w:p w:rsidR="00000000" w:rsidDel="00000000" w:rsidP="00000000" w:rsidRDefault="00000000" w:rsidRPr="00000000" w14:paraId="00000027">
      <w:pPr>
        <w:tabs>
          <w:tab w:val="right" w:leader="none" w:pos="9720"/>
        </w:tabs>
        <w:spacing w:after="60" w:line="240" w:lineRule="auto"/>
        <w:ind w:left="518" w:firstLine="0"/>
        <w:rPr>
          <w:rFonts w:ascii="Poppins" w:cs="Poppins" w:eastAsia="Poppins" w:hAnsi="Poppins"/>
        </w:rPr>
      </w:pPr>
      <w:r w:rsidDel="00000000" w:rsidR="00000000" w:rsidRPr="00000000">
        <w:rPr>
          <w:rFonts w:ascii="Poppins" w:cs="Poppins" w:eastAsia="Poppins" w:hAnsi="Poppins"/>
          <w:color w:val="000000"/>
          <w:sz w:val="21"/>
          <w:szCs w:val="21"/>
          <w:rtl w:val="0"/>
        </w:rPr>
        <w:t xml:space="preserve">2.2.2 Italie</w:t>
        <w:tab/>
        <w:t xml:space="preserve">14</w:t>
      </w:r>
      <w:r w:rsidDel="00000000" w:rsidR="00000000" w:rsidRPr="00000000">
        <w:rPr>
          <w:rtl w:val="0"/>
        </w:rPr>
      </w:r>
    </w:p>
    <w:p w:rsidR="00000000" w:rsidDel="00000000" w:rsidP="00000000" w:rsidRDefault="00000000" w:rsidRPr="00000000" w14:paraId="00000028">
      <w:pPr>
        <w:tabs>
          <w:tab w:val="right" w:leader="none" w:pos="9720"/>
        </w:tabs>
        <w:spacing w:after="60" w:line="240" w:lineRule="auto"/>
        <w:ind w:left="518" w:firstLine="0"/>
        <w:rPr>
          <w:rFonts w:ascii="Poppins" w:cs="Poppins" w:eastAsia="Poppins" w:hAnsi="Poppins"/>
        </w:rPr>
      </w:pPr>
      <w:r w:rsidDel="00000000" w:rsidR="00000000" w:rsidRPr="00000000">
        <w:rPr>
          <w:rFonts w:ascii="Poppins" w:cs="Poppins" w:eastAsia="Poppins" w:hAnsi="Poppins"/>
          <w:color w:val="000000"/>
          <w:sz w:val="21"/>
          <w:szCs w:val="21"/>
          <w:rtl w:val="0"/>
        </w:rPr>
        <w:t xml:space="preserve">2.2.3 Roumanie</w:t>
        <w:tab/>
        <w:t xml:space="preserve">15</w:t>
      </w:r>
      <w:r w:rsidDel="00000000" w:rsidR="00000000" w:rsidRPr="00000000">
        <w:rPr>
          <w:rtl w:val="0"/>
        </w:rPr>
      </w:r>
    </w:p>
    <w:p w:rsidR="00000000" w:rsidDel="00000000" w:rsidP="00000000" w:rsidRDefault="00000000" w:rsidRPr="00000000" w14:paraId="00000029">
      <w:pPr>
        <w:tabs>
          <w:tab w:val="right" w:leader="none" w:pos="9720"/>
        </w:tabs>
        <w:spacing w:after="60" w:line="240" w:lineRule="auto"/>
        <w:rPr>
          <w:rFonts w:ascii="Poppins" w:cs="Poppins" w:eastAsia="Poppins" w:hAnsi="Poppins"/>
        </w:rPr>
      </w:pPr>
      <w:r w:rsidDel="00000000" w:rsidR="00000000" w:rsidRPr="00000000">
        <w:rPr>
          <w:rFonts w:ascii="Poppins" w:cs="Poppins" w:eastAsia="Poppins" w:hAnsi="Poppins"/>
          <w:color w:val="000000"/>
          <w:sz w:val="21"/>
          <w:szCs w:val="21"/>
          <w:rtl w:val="0"/>
        </w:rPr>
        <w:t xml:space="preserve">3. Résultats nationaux de la tâche 2.2 : outils de participation et données probantes des parties prenantes</w:t>
        <w:tab/>
        <w:t xml:space="preserve">17</w:t>
      </w:r>
      <w:r w:rsidDel="00000000" w:rsidR="00000000" w:rsidRPr="00000000">
        <w:rPr>
          <w:rtl w:val="0"/>
        </w:rPr>
      </w:r>
    </w:p>
    <w:p w:rsidR="00000000" w:rsidDel="00000000" w:rsidP="00000000" w:rsidRDefault="00000000" w:rsidRPr="00000000" w14:paraId="0000002A">
      <w:pPr>
        <w:tabs>
          <w:tab w:val="right" w:leader="none" w:pos="9720"/>
        </w:tabs>
        <w:spacing w:after="60" w:line="240" w:lineRule="auto"/>
        <w:ind w:left="259" w:firstLine="0"/>
        <w:rPr>
          <w:rFonts w:ascii="Poppins" w:cs="Poppins" w:eastAsia="Poppins" w:hAnsi="Poppins"/>
        </w:rPr>
      </w:pPr>
      <w:r w:rsidDel="00000000" w:rsidR="00000000" w:rsidRPr="00000000">
        <w:rPr>
          <w:rFonts w:ascii="Poppins" w:cs="Poppins" w:eastAsia="Poppins" w:hAnsi="Poppins"/>
          <w:color w:val="000000"/>
          <w:sz w:val="21"/>
          <w:szCs w:val="21"/>
          <w:rtl w:val="0"/>
        </w:rPr>
        <w:t xml:space="preserve">3.1 Pays d’Afrique subsaharienne</w:t>
        <w:tab/>
        <w:t xml:space="preserve">17</w:t>
      </w:r>
      <w:r w:rsidDel="00000000" w:rsidR="00000000" w:rsidRPr="00000000">
        <w:rPr>
          <w:rtl w:val="0"/>
        </w:rPr>
      </w:r>
    </w:p>
    <w:p w:rsidR="00000000" w:rsidDel="00000000" w:rsidP="00000000" w:rsidRDefault="00000000" w:rsidRPr="00000000" w14:paraId="0000002B">
      <w:pPr>
        <w:tabs>
          <w:tab w:val="right" w:leader="none" w:pos="9720"/>
        </w:tabs>
        <w:spacing w:after="60" w:line="240" w:lineRule="auto"/>
        <w:ind w:left="518" w:firstLine="0"/>
        <w:rPr>
          <w:rFonts w:ascii="Poppins" w:cs="Poppins" w:eastAsia="Poppins" w:hAnsi="Poppins"/>
        </w:rPr>
      </w:pPr>
      <w:r w:rsidDel="00000000" w:rsidR="00000000" w:rsidRPr="00000000">
        <w:rPr>
          <w:rFonts w:ascii="Poppins" w:cs="Poppins" w:eastAsia="Poppins" w:hAnsi="Poppins"/>
          <w:color w:val="000000"/>
          <w:sz w:val="21"/>
          <w:szCs w:val="21"/>
          <w:rtl w:val="0"/>
        </w:rPr>
        <w:t xml:space="preserve">3.1.1 Botswana</w:t>
        <w:tab/>
        <w:t xml:space="preserve">17</w:t>
      </w:r>
      <w:r w:rsidDel="00000000" w:rsidR="00000000" w:rsidRPr="00000000">
        <w:rPr>
          <w:rtl w:val="0"/>
        </w:rPr>
      </w:r>
    </w:p>
    <w:p w:rsidR="00000000" w:rsidDel="00000000" w:rsidP="00000000" w:rsidRDefault="00000000" w:rsidRPr="00000000" w14:paraId="0000002C">
      <w:pPr>
        <w:tabs>
          <w:tab w:val="right" w:leader="none" w:pos="9720"/>
        </w:tabs>
        <w:spacing w:after="60" w:line="240" w:lineRule="auto"/>
        <w:ind w:left="518" w:firstLine="0"/>
        <w:rPr>
          <w:rFonts w:ascii="Poppins" w:cs="Poppins" w:eastAsia="Poppins" w:hAnsi="Poppins"/>
        </w:rPr>
      </w:pPr>
      <w:r w:rsidDel="00000000" w:rsidR="00000000" w:rsidRPr="00000000">
        <w:rPr>
          <w:rFonts w:ascii="Poppins" w:cs="Poppins" w:eastAsia="Poppins" w:hAnsi="Poppins"/>
          <w:color w:val="000000"/>
          <w:sz w:val="21"/>
          <w:szCs w:val="21"/>
          <w:rtl w:val="0"/>
        </w:rPr>
        <w:t xml:space="preserve">3.1.2 Madagascar</w:t>
        <w:tab/>
        <w:t xml:space="preserve">18</w:t>
      </w:r>
      <w:r w:rsidDel="00000000" w:rsidR="00000000" w:rsidRPr="00000000">
        <w:rPr>
          <w:rtl w:val="0"/>
        </w:rPr>
      </w:r>
    </w:p>
    <w:p w:rsidR="00000000" w:rsidDel="00000000" w:rsidP="00000000" w:rsidRDefault="00000000" w:rsidRPr="00000000" w14:paraId="0000002D">
      <w:pPr>
        <w:tabs>
          <w:tab w:val="right" w:leader="none" w:pos="9720"/>
        </w:tabs>
        <w:spacing w:after="60" w:line="240" w:lineRule="auto"/>
        <w:ind w:left="518" w:firstLine="0"/>
        <w:rPr>
          <w:rFonts w:ascii="Poppins" w:cs="Poppins" w:eastAsia="Poppins" w:hAnsi="Poppins"/>
        </w:rPr>
      </w:pPr>
      <w:r w:rsidDel="00000000" w:rsidR="00000000" w:rsidRPr="00000000">
        <w:rPr>
          <w:rFonts w:ascii="Poppins" w:cs="Poppins" w:eastAsia="Poppins" w:hAnsi="Poppins"/>
          <w:color w:val="000000"/>
          <w:sz w:val="21"/>
          <w:szCs w:val="21"/>
          <w:rtl w:val="0"/>
        </w:rPr>
        <w:t xml:space="preserve">3.1.3 Maurice</w:t>
        <w:tab/>
        <w:t xml:space="preserve">18</w:t>
      </w:r>
      <w:r w:rsidDel="00000000" w:rsidR="00000000" w:rsidRPr="00000000">
        <w:rPr>
          <w:rtl w:val="0"/>
        </w:rPr>
      </w:r>
    </w:p>
    <w:p w:rsidR="00000000" w:rsidDel="00000000" w:rsidP="00000000" w:rsidRDefault="00000000" w:rsidRPr="00000000" w14:paraId="0000002E">
      <w:pPr>
        <w:tabs>
          <w:tab w:val="right" w:leader="none" w:pos="9720"/>
        </w:tabs>
        <w:spacing w:after="60" w:line="240" w:lineRule="auto"/>
        <w:ind w:left="518" w:firstLine="0"/>
        <w:rPr>
          <w:rFonts w:ascii="Poppins" w:cs="Poppins" w:eastAsia="Poppins" w:hAnsi="Poppins"/>
        </w:rPr>
      </w:pPr>
      <w:r w:rsidDel="00000000" w:rsidR="00000000" w:rsidRPr="00000000">
        <w:rPr>
          <w:rFonts w:ascii="Poppins" w:cs="Poppins" w:eastAsia="Poppins" w:hAnsi="Poppins"/>
          <w:color w:val="000000"/>
          <w:sz w:val="21"/>
          <w:szCs w:val="21"/>
          <w:rtl w:val="0"/>
        </w:rPr>
        <w:t xml:space="preserve">3.1.4 Nigeria</w:t>
        <w:tab/>
        <w:t xml:space="preserve">20</w:t>
      </w:r>
      <w:r w:rsidDel="00000000" w:rsidR="00000000" w:rsidRPr="00000000">
        <w:rPr>
          <w:rtl w:val="0"/>
        </w:rPr>
      </w:r>
    </w:p>
    <w:p w:rsidR="00000000" w:rsidDel="00000000" w:rsidP="00000000" w:rsidRDefault="00000000" w:rsidRPr="00000000" w14:paraId="0000002F">
      <w:pPr>
        <w:tabs>
          <w:tab w:val="right" w:leader="none" w:pos="9720"/>
        </w:tabs>
        <w:spacing w:after="60" w:line="240" w:lineRule="auto"/>
        <w:ind w:left="259" w:firstLine="0"/>
        <w:rPr>
          <w:rFonts w:ascii="Poppins" w:cs="Poppins" w:eastAsia="Poppins" w:hAnsi="Poppins"/>
        </w:rPr>
      </w:pPr>
      <w:r w:rsidDel="00000000" w:rsidR="00000000" w:rsidRPr="00000000">
        <w:rPr>
          <w:rFonts w:ascii="Poppins" w:cs="Poppins" w:eastAsia="Poppins" w:hAnsi="Poppins"/>
          <w:color w:val="000000"/>
          <w:sz w:val="21"/>
          <w:szCs w:val="21"/>
          <w:rtl w:val="0"/>
        </w:rPr>
        <w:t xml:space="preserve">3.2 Pays partenaires européens</w:t>
        <w:tab/>
        <w:t xml:space="preserve">21</w:t>
      </w:r>
      <w:r w:rsidDel="00000000" w:rsidR="00000000" w:rsidRPr="00000000">
        <w:rPr>
          <w:rtl w:val="0"/>
        </w:rPr>
      </w:r>
    </w:p>
    <w:p w:rsidR="00000000" w:rsidDel="00000000" w:rsidP="00000000" w:rsidRDefault="00000000" w:rsidRPr="00000000" w14:paraId="00000030">
      <w:pPr>
        <w:tabs>
          <w:tab w:val="right" w:leader="none" w:pos="9720"/>
        </w:tabs>
        <w:spacing w:after="60" w:line="240" w:lineRule="auto"/>
        <w:ind w:left="518" w:firstLine="0"/>
        <w:rPr>
          <w:rFonts w:ascii="Poppins" w:cs="Poppins" w:eastAsia="Poppins" w:hAnsi="Poppins"/>
        </w:rPr>
      </w:pPr>
      <w:r w:rsidDel="00000000" w:rsidR="00000000" w:rsidRPr="00000000">
        <w:rPr>
          <w:rFonts w:ascii="Poppins" w:cs="Poppins" w:eastAsia="Poppins" w:hAnsi="Poppins"/>
          <w:color w:val="000000"/>
          <w:sz w:val="21"/>
          <w:szCs w:val="21"/>
          <w:rtl w:val="0"/>
        </w:rPr>
        <w:t xml:space="preserve">3.2.1 Grèce</w:t>
        <w:tab/>
        <w:t xml:space="preserve">21</w:t>
      </w:r>
      <w:r w:rsidDel="00000000" w:rsidR="00000000" w:rsidRPr="00000000">
        <w:rPr>
          <w:rtl w:val="0"/>
        </w:rPr>
      </w:r>
    </w:p>
    <w:p w:rsidR="00000000" w:rsidDel="00000000" w:rsidP="00000000" w:rsidRDefault="00000000" w:rsidRPr="00000000" w14:paraId="00000031">
      <w:pPr>
        <w:tabs>
          <w:tab w:val="right" w:leader="none" w:pos="9720"/>
        </w:tabs>
        <w:spacing w:after="60" w:line="240" w:lineRule="auto"/>
        <w:ind w:left="518" w:firstLine="0"/>
        <w:rPr>
          <w:rFonts w:ascii="Poppins" w:cs="Poppins" w:eastAsia="Poppins" w:hAnsi="Poppins"/>
        </w:rPr>
      </w:pPr>
      <w:r w:rsidDel="00000000" w:rsidR="00000000" w:rsidRPr="00000000">
        <w:rPr>
          <w:rFonts w:ascii="Poppins" w:cs="Poppins" w:eastAsia="Poppins" w:hAnsi="Poppins"/>
          <w:color w:val="000000"/>
          <w:sz w:val="21"/>
          <w:szCs w:val="21"/>
          <w:rtl w:val="0"/>
        </w:rPr>
        <w:t xml:space="preserve">3.2.2 Italie</w:t>
        <w:tab/>
        <w:t xml:space="preserve">22</w:t>
      </w:r>
      <w:r w:rsidDel="00000000" w:rsidR="00000000" w:rsidRPr="00000000">
        <w:rPr>
          <w:rtl w:val="0"/>
        </w:rPr>
      </w:r>
    </w:p>
    <w:p w:rsidR="00000000" w:rsidDel="00000000" w:rsidP="00000000" w:rsidRDefault="00000000" w:rsidRPr="00000000" w14:paraId="00000032">
      <w:pPr>
        <w:tabs>
          <w:tab w:val="right" w:leader="none" w:pos="9720"/>
        </w:tabs>
        <w:spacing w:after="60" w:line="240" w:lineRule="auto"/>
        <w:ind w:left="518" w:firstLine="0"/>
        <w:rPr>
          <w:rFonts w:ascii="Poppins" w:cs="Poppins" w:eastAsia="Poppins" w:hAnsi="Poppins"/>
        </w:rPr>
      </w:pPr>
      <w:r w:rsidDel="00000000" w:rsidR="00000000" w:rsidRPr="00000000">
        <w:rPr>
          <w:rFonts w:ascii="Poppins" w:cs="Poppins" w:eastAsia="Poppins" w:hAnsi="Poppins"/>
          <w:color w:val="000000"/>
          <w:sz w:val="21"/>
          <w:szCs w:val="21"/>
          <w:rtl w:val="0"/>
        </w:rPr>
        <w:t xml:space="preserve">3.2.3 Roumanie</w:t>
        <w:tab/>
        <w:t xml:space="preserve">23</w:t>
      </w:r>
      <w:r w:rsidDel="00000000" w:rsidR="00000000" w:rsidRPr="00000000">
        <w:rPr>
          <w:rtl w:val="0"/>
        </w:rPr>
      </w:r>
    </w:p>
    <w:p w:rsidR="00000000" w:rsidDel="00000000" w:rsidP="00000000" w:rsidRDefault="00000000" w:rsidRPr="00000000" w14:paraId="00000033">
      <w:pPr>
        <w:tabs>
          <w:tab w:val="right" w:leader="none" w:pos="9720"/>
        </w:tabs>
        <w:spacing w:after="60" w:line="240" w:lineRule="auto"/>
        <w:rPr>
          <w:rFonts w:ascii="Poppins" w:cs="Poppins" w:eastAsia="Poppins" w:hAnsi="Poppins"/>
        </w:rPr>
      </w:pPr>
      <w:r w:rsidDel="00000000" w:rsidR="00000000" w:rsidRPr="00000000">
        <w:rPr>
          <w:rFonts w:ascii="Poppins" w:cs="Poppins" w:eastAsia="Poppins" w:hAnsi="Poppins"/>
          <w:color w:val="000000"/>
          <w:sz w:val="21"/>
          <w:szCs w:val="21"/>
          <w:rtl w:val="0"/>
        </w:rPr>
        <w:t xml:space="preserve">4. Analyse comparative : tendances transnationales et enseignements transférables</w:t>
        <w:tab/>
        <w:t xml:space="preserve">25</w:t>
      </w:r>
      <w:r w:rsidDel="00000000" w:rsidR="00000000" w:rsidRPr="00000000">
        <w:rPr>
          <w:rtl w:val="0"/>
        </w:rPr>
      </w:r>
    </w:p>
    <w:p w:rsidR="00000000" w:rsidDel="00000000" w:rsidP="00000000" w:rsidRDefault="00000000" w:rsidRPr="00000000" w14:paraId="00000034">
      <w:pPr>
        <w:tabs>
          <w:tab w:val="right" w:leader="none" w:pos="9720"/>
        </w:tabs>
        <w:spacing w:after="60" w:line="240" w:lineRule="auto"/>
        <w:ind w:left="259" w:firstLine="0"/>
        <w:rPr>
          <w:rFonts w:ascii="Poppins" w:cs="Poppins" w:eastAsia="Poppins" w:hAnsi="Poppins"/>
        </w:rPr>
      </w:pPr>
      <w:r w:rsidDel="00000000" w:rsidR="00000000" w:rsidRPr="00000000">
        <w:rPr>
          <w:rFonts w:ascii="Poppins" w:cs="Poppins" w:eastAsia="Poppins" w:hAnsi="Poppins"/>
          <w:color w:val="000000"/>
          <w:sz w:val="21"/>
          <w:szCs w:val="21"/>
          <w:rtl w:val="0"/>
        </w:rPr>
        <w:t xml:space="preserve">4.1 Comparaison transnationale</w:t>
        <w:tab/>
        <w:t xml:space="preserve">25</w:t>
      </w:r>
      <w:r w:rsidDel="00000000" w:rsidR="00000000" w:rsidRPr="00000000">
        <w:rPr>
          <w:rtl w:val="0"/>
        </w:rPr>
      </w:r>
    </w:p>
    <w:p w:rsidR="00000000" w:rsidDel="00000000" w:rsidP="00000000" w:rsidRDefault="00000000" w:rsidRPr="00000000" w14:paraId="00000035">
      <w:pPr>
        <w:tabs>
          <w:tab w:val="right" w:leader="none" w:pos="9720"/>
        </w:tabs>
        <w:spacing w:after="60" w:line="240" w:lineRule="auto"/>
        <w:ind w:left="518" w:firstLine="0"/>
        <w:rPr>
          <w:rFonts w:ascii="Poppins" w:cs="Poppins" w:eastAsia="Poppins" w:hAnsi="Poppins"/>
        </w:rPr>
      </w:pPr>
      <w:r w:rsidDel="00000000" w:rsidR="00000000" w:rsidRPr="00000000">
        <w:rPr>
          <w:rFonts w:ascii="Poppins" w:cs="Poppins" w:eastAsia="Poppins" w:hAnsi="Poppins"/>
          <w:color w:val="000000"/>
          <w:sz w:val="21"/>
          <w:szCs w:val="21"/>
          <w:rtl w:val="0"/>
        </w:rPr>
        <w:t xml:space="preserve">4.1.1 Disponibilité et accessibilité des ressources</w:t>
        <w:tab/>
        <w:t xml:space="preserve">25</w:t>
      </w:r>
      <w:r w:rsidDel="00000000" w:rsidR="00000000" w:rsidRPr="00000000">
        <w:rPr>
          <w:rtl w:val="0"/>
        </w:rPr>
      </w:r>
    </w:p>
    <w:p w:rsidR="00000000" w:rsidDel="00000000" w:rsidP="00000000" w:rsidRDefault="00000000" w:rsidRPr="00000000" w14:paraId="00000036">
      <w:pPr>
        <w:tabs>
          <w:tab w:val="right" w:leader="none" w:pos="9720"/>
        </w:tabs>
        <w:spacing w:after="60" w:line="240" w:lineRule="auto"/>
        <w:ind w:left="518" w:firstLine="0"/>
        <w:rPr>
          <w:rFonts w:ascii="Poppins" w:cs="Poppins" w:eastAsia="Poppins" w:hAnsi="Poppins"/>
        </w:rPr>
      </w:pPr>
      <w:r w:rsidDel="00000000" w:rsidR="00000000" w:rsidRPr="00000000">
        <w:rPr>
          <w:rFonts w:ascii="Poppins" w:cs="Poppins" w:eastAsia="Poppins" w:hAnsi="Poppins"/>
          <w:color w:val="000000"/>
          <w:sz w:val="21"/>
          <w:szCs w:val="21"/>
          <w:rtl w:val="0"/>
        </w:rPr>
        <w:t xml:space="preserve">4.1.2 Cadres juridiques et politiques : permissifs sans être prescriptifs</w:t>
        <w:tab/>
        <w:t xml:space="preserve">25</w:t>
      </w:r>
      <w:r w:rsidDel="00000000" w:rsidR="00000000" w:rsidRPr="00000000">
        <w:rPr>
          <w:rtl w:val="0"/>
        </w:rPr>
      </w:r>
    </w:p>
    <w:p w:rsidR="00000000" w:rsidDel="00000000" w:rsidP="00000000" w:rsidRDefault="00000000" w:rsidRPr="00000000" w14:paraId="00000037">
      <w:pPr>
        <w:tabs>
          <w:tab w:val="right" w:leader="none" w:pos="9720"/>
        </w:tabs>
        <w:spacing w:after="60" w:line="240" w:lineRule="auto"/>
        <w:ind w:left="518" w:firstLine="0"/>
        <w:rPr>
          <w:rFonts w:ascii="Poppins" w:cs="Poppins" w:eastAsia="Poppins" w:hAnsi="Poppins"/>
        </w:rPr>
      </w:pPr>
      <w:r w:rsidDel="00000000" w:rsidR="00000000" w:rsidRPr="00000000">
        <w:rPr>
          <w:rFonts w:ascii="Poppins" w:cs="Poppins" w:eastAsia="Poppins" w:hAnsi="Poppins"/>
          <w:color w:val="000000"/>
          <w:sz w:val="21"/>
          <w:szCs w:val="21"/>
          <w:rtl w:val="0"/>
        </w:rPr>
        <w:t xml:space="preserve">4.1.3 Lacunes universelles : présentes dans les sept pays</w:t>
        <w:tab/>
        <w:t xml:space="preserve">25</w:t>
      </w:r>
      <w:r w:rsidDel="00000000" w:rsidR="00000000" w:rsidRPr="00000000">
        <w:rPr>
          <w:rtl w:val="0"/>
        </w:rPr>
      </w:r>
    </w:p>
    <w:p w:rsidR="00000000" w:rsidDel="00000000" w:rsidP="00000000" w:rsidRDefault="00000000" w:rsidRPr="00000000" w14:paraId="00000038">
      <w:pPr>
        <w:tabs>
          <w:tab w:val="right" w:leader="none" w:pos="9720"/>
        </w:tabs>
        <w:spacing w:after="60" w:line="240" w:lineRule="auto"/>
        <w:ind w:left="259" w:firstLine="0"/>
        <w:rPr>
          <w:rFonts w:ascii="Poppins" w:cs="Poppins" w:eastAsia="Poppins" w:hAnsi="Poppins"/>
        </w:rPr>
      </w:pPr>
      <w:r w:rsidDel="00000000" w:rsidR="00000000" w:rsidRPr="00000000">
        <w:rPr>
          <w:rFonts w:ascii="Poppins" w:cs="Poppins" w:eastAsia="Poppins" w:hAnsi="Poppins"/>
          <w:color w:val="000000"/>
          <w:sz w:val="21"/>
          <w:szCs w:val="21"/>
          <w:rtl w:val="0"/>
        </w:rPr>
        <w:t xml:space="preserve">4.2 Afrique subsaharienne : analyse interne</w:t>
        <w:tab/>
        <w:t xml:space="preserve">26</w:t>
      </w:r>
      <w:r w:rsidDel="00000000" w:rsidR="00000000" w:rsidRPr="00000000">
        <w:rPr>
          <w:rtl w:val="0"/>
        </w:rPr>
      </w:r>
    </w:p>
    <w:p w:rsidR="00000000" w:rsidDel="00000000" w:rsidP="00000000" w:rsidRDefault="00000000" w:rsidRPr="00000000" w14:paraId="00000039">
      <w:pPr>
        <w:tabs>
          <w:tab w:val="right" w:leader="none" w:pos="9720"/>
        </w:tabs>
        <w:spacing w:after="60" w:line="240" w:lineRule="auto"/>
        <w:ind w:left="259" w:firstLine="0"/>
        <w:rPr>
          <w:rFonts w:ascii="Poppins" w:cs="Poppins" w:eastAsia="Poppins" w:hAnsi="Poppins"/>
        </w:rPr>
      </w:pPr>
      <w:r w:rsidDel="00000000" w:rsidR="00000000" w:rsidRPr="00000000">
        <w:rPr>
          <w:rFonts w:ascii="Poppins" w:cs="Poppins" w:eastAsia="Poppins" w:hAnsi="Poppins"/>
          <w:color w:val="000000"/>
          <w:sz w:val="21"/>
          <w:szCs w:val="21"/>
          <w:rtl w:val="0"/>
        </w:rPr>
        <w:t xml:space="preserve">4.3 Europe : analyse interne</w:t>
        <w:tab/>
        <w:t xml:space="preserve">27</w:t>
      </w:r>
      <w:r w:rsidDel="00000000" w:rsidR="00000000" w:rsidRPr="00000000">
        <w:rPr>
          <w:rtl w:val="0"/>
        </w:rPr>
      </w:r>
    </w:p>
    <w:p w:rsidR="00000000" w:rsidDel="00000000" w:rsidP="00000000" w:rsidRDefault="00000000" w:rsidRPr="00000000" w14:paraId="0000003A">
      <w:pPr>
        <w:tabs>
          <w:tab w:val="right" w:leader="none" w:pos="9720"/>
        </w:tabs>
        <w:spacing w:after="60" w:line="240" w:lineRule="auto"/>
        <w:ind w:left="259" w:firstLine="0"/>
        <w:rPr>
          <w:rFonts w:ascii="Poppins" w:cs="Poppins" w:eastAsia="Poppins" w:hAnsi="Poppins"/>
        </w:rPr>
      </w:pPr>
      <w:r w:rsidDel="00000000" w:rsidR="00000000" w:rsidRPr="00000000">
        <w:rPr>
          <w:rFonts w:ascii="Poppins" w:cs="Poppins" w:eastAsia="Poppins" w:hAnsi="Poppins"/>
          <w:color w:val="000000"/>
          <w:sz w:val="21"/>
          <w:szCs w:val="21"/>
          <w:rtl w:val="0"/>
        </w:rPr>
        <w:t xml:space="preserve">4.4 Transfert de connaissances Europe–ASS : quatre principes de conception</w:t>
        <w:tab/>
        <w:t xml:space="preserve">30</w:t>
      </w:r>
      <w:r w:rsidDel="00000000" w:rsidR="00000000" w:rsidRPr="00000000">
        <w:rPr>
          <w:rtl w:val="0"/>
        </w:rPr>
      </w:r>
    </w:p>
    <w:p w:rsidR="00000000" w:rsidDel="00000000" w:rsidP="00000000" w:rsidRDefault="00000000" w:rsidRPr="00000000" w14:paraId="0000003B">
      <w:pPr>
        <w:tabs>
          <w:tab w:val="right" w:leader="none" w:pos="9720"/>
        </w:tabs>
        <w:spacing w:after="60" w:line="240" w:lineRule="auto"/>
        <w:rPr>
          <w:rFonts w:ascii="Poppins" w:cs="Poppins" w:eastAsia="Poppins" w:hAnsi="Poppins"/>
        </w:rPr>
      </w:pPr>
      <w:r w:rsidDel="00000000" w:rsidR="00000000" w:rsidRPr="00000000">
        <w:rPr>
          <w:rFonts w:ascii="Poppins" w:cs="Poppins" w:eastAsia="Poppins" w:hAnsi="Poppins"/>
          <w:color w:val="000000"/>
          <w:sz w:val="21"/>
          <w:szCs w:val="21"/>
          <w:rtl w:val="0"/>
        </w:rPr>
        <w:t xml:space="preserve">5. Recommandations transversales pour la conception des Parlements ruraux des jeunes</w:t>
        <w:tab/>
        <w:t xml:space="preserve">33</w:t>
      </w:r>
      <w:r w:rsidDel="00000000" w:rsidR="00000000" w:rsidRPr="00000000">
        <w:rPr>
          <w:rtl w:val="0"/>
        </w:rPr>
      </w:r>
    </w:p>
    <w:p w:rsidR="00000000" w:rsidDel="00000000" w:rsidP="00000000" w:rsidRDefault="00000000" w:rsidRPr="00000000" w14:paraId="0000003C">
      <w:pPr>
        <w:tabs>
          <w:tab w:val="right" w:leader="none" w:pos="9720"/>
        </w:tabs>
        <w:spacing w:after="60" w:line="240" w:lineRule="auto"/>
        <w:ind w:left="259" w:firstLine="0"/>
        <w:rPr>
          <w:rFonts w:ascii="Poppins" w:cs="Poppins" w:eastAsia="Poppins" w:hAnsi="Poppins"/>
        </w:rPr>
      </w:pPr>
      <w:r w:rsidDel="00000000" w:rsidR="00000000" w:rsidRPr="00000000">
        <w:rPr>
          <w:rFonts w:ascii="Poppins" w:cs="Poppins" w:eastAsia="Poppins" w:hAnsi="Poppins"/>
          <w:color w:val="000000"/>
          <w:sz w:val="21"/>
          <w:szCs w:val="21"/>
          <w:rtl w:val="0"/>
        </w:rPr>
        <w:t xml:space="preserve">Domaine de recommandation 1 : ancrage institutionnel et reconnaissance juridique</w:t>
        <w:tab/>
        <w:t xml:space="preserve">33</w:t>
      </w:r>
      <w:r w:rsidDel="00000000" w:rsidR="00000000" w:rsidRPr="00000000">
        <w:rPr>
          <w:rtl w:val="0"/>
        </w:rPr>
      </w:r>
    </w:p>
    <w:p w:rsidR="00000000" w:rsidDel="00000000" w:rsidP="00000000" w:rsidRDefault="00000000" w:rsidRPr="00000000" w14:paraId="0000003D">
      <w:pPr>
        <w:tabs>
          <w:tab w:val="right" w:leader="none" w:pos="9720"/>
        </w:tabs>
        <w:spacing w:after="60" w:line="240" w:lineRule="auto"/>
        <w:ind w:left="259" w:firstLine="0"/>
        <w:rPr>
          <w:rFonts w:ascii="Poppins" w:cs="Poppins" w:eastAsia="Poppins" w:hAnsi="Poppins"/>
        </w:rPr>
      </w:pPr>
      <w:r w:rsidDel="00000000" w:rsidR="00000000" w:rsidRPr="00000000">
        <w:rPr>
          <w:rFonts w:ascii="Poppins" w:cs="Poppins" w:eastAsia="Poppins" w:hAnsi="Poppins"/>
          <w:color w:val="000000"/>
          <w:sz w:val="21"/>
          <w:szCs w:val="21"/>
          <w:rtl w:val="0"/>
        </w:rPr>
        <w:t xml:space="preserve">Domaine de recommandation 2 : de la consultation à la codécision</w:t>
        <w:tab/>
        <w:t xml:space="preserve">34</w:t>
      </w:r>
      <w:r w:rsidDel="00000000" w:rsidR="00000000" w:rsidRPr="00000000">
        <w:rPr>
          <w:rtl w:val="0"/>
        </w:rPr>
      </w:r>
    </w:p>
    <w:p w:rsidR="00000000" w:rsidDel="00000000" w:rsidP="00000000" w:rsidRDefault="00000000" w:rsidRPr="00000000" w14:paraId="0000003E">
      <w:pPr>
        <w:tabs>
          <w:tab w:val="right" w:leader="none" w:pos="9720"/>
        </w:tabs>
        <w:spacing w:after="60" w:line="240" w:lineRule="auto"/>
        <w:ind w:left="259" w:firstLine="0"/>
        <w:rPr>
          <w:rFonts w:ascii="Poppins" w:cs="Poppins" w:eastAsia="Poppins" w:hAnsi="Poppins"/>
        </w:rPr>
      </w:pPr>
      <w:r w:rsidDel="00000000" w:rsidR="00000000" w:rsidRPr="00000000">
        <w:rPr>
          <w:rFonts w:ascii="Poppins" w:cs="Poppins" w:eastAsia="Poppins" w:hAnsi="Poppins"/>
          <w:color w:val="000000"/>
          <w:sz w:val="21"/>
          <w:szCs w:val="21"/>
          <w:rtl w:val="0"/>
        </w:rPr>
        <w:t xml:space="preserve">Domaine de recommandation 3 : accessibilité rurale et inclusion radicale</w:t>
        <w:tab/>
        <w:t xml:space="preserve">34</w:t>
      </w:r>
      <w:r w:rsidDel="00000000" w:rsidR="00000000" w:rsidRPr="00000000">
        <w:rPr>
          <w:rtl w:val="0"/>
        </w:rPr>
      </w:r>
    </w:p>
    <w:p w:rsidR="00000000" w:rsidDel="00000000" w:rsidP="00000000" w:rsidRDefault="00000000" w:rsidRPr="00000000" w14:paraId="0000003F">
      <w:pPr>
        <w:tabs>
          <w:tab w:val="right" w:leader="none" w:pos="9720"/>
        </w:tabs>
        <w:spacing w:after="60" w:line="240" w:lineRule="auto"/>
        <w:ind w:left="259" w:firstLine="0"/>
        <w:rPr>
          <w:rFonts w:ascii="Poppins" w:cs="Poppins" w:eastAsia="Poppins" w:hAnsi="Poppins"/>
        </w:rPr>
      </w:pPr>
      <w:r w:rsidDel="00000000" w:rsidR="00000000" w:rsidRPr="00000000">
        <w:rPr>
          <w:rFonts w:ascii="Poppins" w:cs="Poppins" w:eastAsia="Poppins" w:hAnsi="Poppins"/>
          <w:color w:val="000000"/>
          <w:sz w:val="21"/>
          <w:szCs w:val="21"/>
          <w:rtl w:val="0"/>
        </w:rPr>
        <w:t xml:space="preserve">Domaine de recommandation 4 : sensibilité culturelle et partenariat intergénérationnel</w:t>
        <w:tab/>
        <w:t xml:space="preserve">35</w:t>
      </w:r>
      <w:r w:rsidDel="00000000" w:rsidR="00000000" w:rsidRPr="00000000">
        <w:rPr>
          <w:rtl w:val="0"/>
        </w:rPr>
      </w:r>
    </w:p>
    <w:p w:rsidR="00000000" w:rsidDel="00000000" w:rsidP="00000000" w:rsidRDefault="00000000" w:rsidRPr="00000000" w14:paraId="00000040">
      <w:pPr>
        <w:tabs>
          <w:tab w:val="right" w:leader="none" w:pos="9720"/>
        </w:tabs>
        <w:spacing w:after="60" w:line="240" w:lineRule="auto"/>
        <w:ind w:left="259" w:firstLine="0"/>
        <w:rPr>
          <w:rFonts w:ascii="Poppins" w:cs="Poppins" w:eastAsia="Poppins" w:hAnsi="Poppins"/>
        </w:rPr>
      </w:pPr>
      <w:r w:rsidDel="00000000" w:rsidR="00000000" w:rsidRPr="00000000">
        <w:rPr>
          <w:rFonts w:ascii="Poppins" w:cs="Poppins" w:eastAsia="Poppins" w:hAnsi="Poppins"/>
          <w:color w:val="000000"/>
          <w:sz w:val="21"/>
          <w:szCs w:val="21"/>
          <w:rtl w:val="0"/>
        </w:rPr>
        <w:t xml:space="preserve">Domaine de recommandation 5 : financement durable et suivi de l’impact</w:t>
        <w:tab/>
        <w:t xml:space="preserve">35</w:t>
      </w:r>
      <w:r w:rsidDel="00000000" w:rsidR="00000000" w:rsidRPr="00000000">
        <w:rPr>
          <w:rtl w:val="0"/>
        </w:rPr>
      </w:r>
    </w:p>
    <w:p w:rsidR="00000000" w:rsidDel="00000000" w:rsidP="00000000" w:rsidRDefault="00000000" w:rsidRPr="00000000" w14:paraId="00000041">
      <w:pPr>
        <w:tabs>
          <w:tab w:val="right" w:leader="none" w:pos="9720"/>
        </w:tabs>
        <w:spacing w:after="60" w:line="240" w:lineRule="auto"/>
        <w:ind w:left="259" w:firstLine="0"/>
        <w:rPr>
          <w:rFonts w:ascii="Poppins" w:cs="Poppins" w:eastAsia="Poppins" w:hAnsi="Poppins"/>
        </w:rPr>
      </w:pPr>
      <w:r w:rsidDel="00000000" w:rsidR="00000000" w:rsidRPr="00000000">
        <w:rPr>
          <w:rFonts w:ascii="Poppins" w:cs="Poppins" w:eastAsia="Poppins" w:hAnsi="Poppins"/>
          <w:color w:val="000000"/>
          <w:sz w:val="21"/>
          <w:szCs w:val="21"/>
          <w:rtl w:val="0"/>
        </w:rPr>
        <w:t xml:space="preserve">Domaine de recommandation 6 : échange de connaissances Europe–ASS</w:t>
        <w:tab/>
        <w:t xml:space="preserve">36</w:t>
      </w:r>
      <w:r w:rsidDel="00000000" w:rsidR="00000000" w:rsidRPr="00000000">
        <w:rPr>
          <w:rtl w:val="0"/>
        </w:rPr>
      </w:r>
    </w:p>
    <w:p w:rsidR="00000000" w:rsidDel="00000000" w:rsidP="00000000" w:rsidRDefault="00000000" w:rsidRPr="00000000" w14:paraId="00000042">
      <w:pPr>
        <w:tabs>
          <w:tab w:val="right" w:leader="none" w:pos="9720"/>
        </w:tabs>
        <w:spacing w:after="60" w:line="240" w:lineRule="auto"/>
        <w:rPr>
          <w:rFonts w:ascii="Poppins" w:cs="Poppins" w:eastAsia="Poppins" w:hAnsi="Poppins"/>
        </w:rPr>
      </w:pPr>
      <w:r w:rsidDel="00000000" w:rsidR="00000000" w:rsidRPr="00000000">
        <w:rPr>
          <w:rFonts w:ascii="Poppins" w:cs="Poppins" w:eastAsia="Poppins" w:hAnsi="Poppins"/>
          <w:color w:val="000000"/>
          <w:sz w:val="21"/>
          <w:szCs w:val="21"/>
          <w:rtl w:val="0"/>
        </w:rPr>
        <w:t xml:space="preserve">6. Conclusion : le bien-fondé des Parlements ruraux des jeunes</w:t>
        <w:tab/>
        <w:t xml:space="preserve">37</w:t>
      </w:r>
      <w:r w:rsidDel="00000000" w:rsidR="00000000" w:rsidRPr="00000000">
        <w:rPr>
          <w:rtl w:val="0"/>
        </w:rPr>
      </w:r>
    </w:p>
    <w:p w:rsidR="00000000" w:rsidDel="00000000" w:rsidP="00000000" w:rsidRDefault="00000000" w:rsidRPr="00000000" w14:paraId="00000043">
      <w:pPr>
        <w:tabs>
          <w:tab w:val="right" w:leader="none" w:pos="9720"/>
        </w:tabs>
        <w:spacing w:after="60" w:line="240" w:lineRule="auto"/>
        <w:rPr>
          <w:rFonts w:ascii="Poppins" w:cs="Poppins" w:eastAsia="Poppins" w:hAnsi="Poppins"/>
        </w:rPr>
      </w:pPr>
      <w:r w:rsidDel="00000000" w:rsidR="00000000" w:rsidRPr="00000000">
        <w:rPr>
          <w:rFonts w:ascii="Poppins" w:cs="Poppins" w:eastAsia="Poppins" w:hAnsi="Poppins"/>
          <w:color w:val="000000"/>
          <w:sz w:val="21"/>
          <w:szCs w:val="21"/>
          <w:rtl w:val="0"/>
        </w:rPr>
        <w:t xml:space="preserve">Annexe A : Profils synthétiques par pays</w:t>
        <w:tab/>
        <w:t xml:space="preserve">39</w:t>
      </w:r>
      <w:r w:rsidDel="00000000" w:rsidR="00000000" w:rsidRPr="00000000">
        <w:rPr>
          <w:rtl w:val="0"/>
        </w:rPr>
      </w:r>
    </w:p>
    <w:p w:rsidR="00000000" w:rsidDel="00000000" w:rsidP="00000000" w:rsidRDefault="00000000" w:rsidRPr="00000000" w14:paraId="00000044">
      <w:pPr>
        <w:tabs>
          <w:tab w:val="right" w:leader="none" w:pos="9720"/>
        </w:tabs>
        <w:spacing w:after="60" w:line="240" w:lineRule="auto"/>
        <w:ind w:left="259" w:firstLine="0"/>
        <w:rPr>
          <w:rFonts w:ascii="Poppins" w:cs="Poppins" w:eastAsia="Poppins" w:hAnsi="Poppins"/>
        </w:rPr>
      </w:pPr>
      <w:r w:rsidDel="00000000" w:rsidR="00000000" w:rsidRPr="00000000">
        <w:rPr>
          <w:rFonts w:ascii="Poppins" w:cs="Poppins" w:eastAsia="Poppins" w:hAnsi="Poppins"/>
          <w:color w:val="000000"/>
          <w:sz w:val="21"/>
          <w:szCs w:val="21"/>
          <w:rtl w:val="0"/>
        </w:rPr>
        <w:t xml:space="preserve">Botswana</w:t>
        <w:tab/>
        <w:t xml:space="preserve">39</w:t>
      </w:r>
      <w:r w:rsidDel="00000000" w:rsidR="00000000" w:rsidRPr="00000000">
        <w:rPr>
          <w:rtl w:val="0"/>
        </w:rPr>
      </w:r>
    </w:p>
    <w:p w:rsidR="00000000" w:rsidDel="00000000" w:rsidP="00000000" w:rsidRDefault="00000000" w:rsidRPr="00000000" w14:paraId="00000045">
      <w:pPr>
        <w:tabs>
          <w:tab w:val="right" w:leader="none" w:pos="9720"/>
        </w:tabs>
        <w:spacing w:after="60" w:line="240" w:lineRule="auto"/>
        <w:ind w:left="259" w:firstLine="0"/>
        <w:rPr>
          <w:rFonts w:ascii="Poppins" w:cs="Poppins" w:eastAsia="Poppins" w:hAnsi="Poppins"/>
        </w:rPr>
      </w:pPr>
      <w:r w:rsidDel="00000000" w:rsidR="00000000" w:rsidRPr="00000000">
        <w:rPr>
          <w:rFonts w:ascii="Poppins" w:cs="Poppins" w:eastAsia="Poppins" w:hAnsi="Poppins"/>
          <w:color w:val="000000"/>
          <w:sz w:val="21"/>
          <w:szCs w:val="21"/>
          <w:rtl w:val="0"/>
        </w:rPr>
        <w:t xml:space="preserve">Madagascar</w:t>
        <w:tab/>
        <w:t xml:space="preserve">39</w:t>
      </w:r>
      <w:r w:rsidDel="00000000" w:rsidR="00000000" w:rsidRPr="00000000">
        <w:rPr>
          <w:rtl w:val="0"/>
        </w:rPr>
      </w:r>
    </w:p>
    <w:p w:rsidR="00000000" w:rsidDel="00000000" w:rsidP="00000000" w:rsidRDefault="00000000" w:rsidRPr="00000000" w14:paraId="00000046">
      <w:pPr>
        <w:tabs>
          <w:tab w:val="right" w:leader="none" w:pos="9720"/>
        </w:tabs>
        <w:spacing w:after="60" w:line="240" w:lineRule="auto"/>
        <w:ind w:left="259" w:firstLine="0"/>
        <w:rPr>
          <w:rFonts w:ascii="Poppins" w:cs="Poppins" w:eastAsia="Poppins" w:hAnsi="Poppins"/>
        </w:rPr>
      </w:pPr>
      <w:r w:rsidDel="00000000" w:rsidR="00000000" w:rsidRPr="00000000">
        <w:rPr>
          <w:rFonts w:ascii="Poppins" w:cs="Poppins" w:eastAsia="Poppins" w:hAnsi="Poppins"/>
          <w:color w:val="000000"/>
          <w:sz w:val="21"/>
          <w:szCs w:val="21"/>
          <w:rtl w:val="0"/>
        </w:rPr>
        <w:t xml:space="preserve">Maurice</w:t>
        <w:tab/>
        <w:t xml:space="preserve">40</w:t>
      </w:r>
      <w:r w:rsidDel="00000000" w:rsidR="00000000" w:rsidRPr="00000000">
        <w:rPr>
          <w:rtl w:val="0"/>
        </w:rPr>
      </w:r>
    </w:p>
    <w:p w:rsidR="00000000" w:rsidDel="00000000" w:rsidP="00000000" w:rsidRDefault="00000000" w:rsidRPr="00000000" w14:paraId="00000047">
      <w:pPr>
        <w:tabs>
          <w:tab w:val="right" w:leader="none" w:pos="9720"/>
        </w:tabs>
        <w:spacing w:after="60" w:line="240" w:lineRule="auto"/>
        <w:ind w:left="259" w:firstLine="0"/>
        <w:rPr>
          <w:rFonts w:ascii="Poppins" w:cs="Poppins" w:eastAsia="Poppins" w:hAnsi="Poppins"/>
        </w:rPr>
      </w:pPr>
      <w:r w:rsidDel="00000000" w:rsidR="00000000" w:rsidRPr="00000000">
        <w:rPr>
          <w:rFonts w:ascii="Poppins" w:cs="Poppins" w:eastAsia="Poppins" w:hAnsi="Poppins"/>
          <w:color w:val="000000"/>
          <w:sz w:val="21"/>
          <w:szCs w:val="21"/>
          <w:rtl w:val="0"/>
        </w:rPr>
        <w:t xml:space="preserve">Nigeria</w:t>
        <w:tab/>
        <w:t xml:space="preserve">40</w:t>
      </w:r>
      <w:r w:rsidDel="00000000" w:rsidR="00000000" w:rsidRPr="00000000">
        <w:rPr>
          <w:rtl w:val="0"/>
        </w:rPr>
      </w:r>
    </w:p>
    <w:p w:rsidR="00000000" w:rsidDel="00000000" w:rsidP="00000000" w:rsidRDefault="00000000" w:rsidRPr="00000000" w14:paraId="00000048">
      <w:pPr>
        <w:tabs>
          <w:tab w:val="right" w:leader="none" w:pos="9720"/>
        </w:tabs>
        <w:spacing w:after="60" w:line="240" w:lineRule="auto"/>
        <w:ind w:left="259" w:firstLine="0"/>
        <w:rPr>
          <w:rFonts w:ascii="Poppins" w:cs="Poppins" w:eastAsia="Poppins" w:hAnsi="Poppins"/>
        </w:rPr>
      </w:pPr>
      <w:r w:rsidDel="00000000" w:rsidR="00000000" w:rsidRPr="00000000">
        <w:rPr>
          <w:rFonts w:ascii="Poppins" w:cs="Poppins" w:eastAsia="Poppins" w:hAnsi="Poppins"/>
          <w:color w:val="000000"/>
          <w:sz w:val="21"/>
          <w:szCs w:val="21"/>
          <w:rtl w:val="0"/>
        </w:rPr>
        <w:t xml:space="preserve">Grèce</w:t>
        <w:tab/>
        <w:t xml:space="preserve">40</w:t>
      </w:r>
      <w:r w:rsidDel="00000000" w:rsidR="00000000" w:rsidRPr="00000000">
        <w:rPr>
          <w:rtl w:val="0"/>
        </w:rPr>
      </w:r>
    </w:p>
    <w:p w:rsidR="00000000" w:rsidDel="00000000" w:rsidP="00000000" w:rsidRDefault="00000000" w:rsidRPr="00000000" w14:paraId="00000049">
      <w:pPr>
        <w:tabs>
          <w:tab w:val="right" w:leader="none" w:pos="9720"/>
        </w:tabs>
        <w:spacing w:after="60" w:line="240" w:lineRule="auto"/>
        <w:ind w:left="259" w:firstLine="0"/>
        <w:rPr>
          <w:rFonts w:ascii="Poppins" w:cs="Poppins" w:eastAsia="Poppins" w:hAnsi="Poppins"/>
        </w:rPr>
      </w:pPr>
      <w:r w:rsidDel="00000000" w:rsidR="00000000" w:rsidRPr="00000000">
        <w:rPr>
          <w:rFonts w:ascii="Poppins" w:cs="Poppins" w:eastAsia="Poppins" w:hAnsi="Poppins"/>
          <w:color w:val="000000"/>
          <w:sz w:val="21"/>
          <w:szCs w:val="21"/>
          <w:rtl w:val="0"/>
        </w:rPr>
        <w:t xml:space="preserve">Italie</w:t>
        <w:tab/>
        <w:t xml:space="preserve">41</w:t>
      </w:r>
      <w:r w:rsidDel="00000000" w:rsidR="00000000" w:rsidRPr="00000000">
        <w:rPr>
          <w:rtl w:val="0"/>
        </w:rPr>
      </w:r>
    </w:p>
    <w:p w:rsidR="00000000" w:rsidDel="00000000" w:rsidP="00000000" w:rsidRDefault="00000000" w:rsidRPr="00000000" w14:paraId="0000004A">
      <w:pPr>
        <w:tabs>
          <w:tab w:val="right" w:leader="none" w:pos="9720"/>
        </w:tabs>
        <w:spacing w:after="60" w:line="240" w:lineRule="auto"/>
        <w:ind w:left="259" w:firstLine="0"/>
        <w:rPr>
          <w:rFonts w:ascii="Poppins" w:cs="Poppins" w:eastAsia="Poppins" w:hAnsi="Poppins"/>
        </w:rPr>
      </w:pPr>
      <w:r w:rsidDel="00000000" w:rsidR="00000000" w:rsidRPr="00000000">
        <w:rPr>
          <w:rFonts w:ascii="Poppins" w:cs="Poppins" w:eastAsia="Poppins" w:hAnsi="Poppins"/>
          <w:color w:val="000000"/>
          <w:sz w:val="21"/>
          <w:szCs w:val="21"/>
          <w:rtl w:val="0"/>
        </w:rPr>
        <w:t xml:space="preserve">Roumanie</w:t>
        <w:tab/>
        <w:t xml:space="preserve">41</w:t>
      </w:r>
      <w:r w:rsidDel="00000000" w:rsidR="00000000" w:rsidRPr="00000000">
        <w:rPr>
          <w:rtl w:val="0"/>
        </w:rPr>
      </w:r>
    </w:p>
    <w:p w:rsidR="00000000" w:rsidDel="00000000" w:rsidP="00000000" w:rsidRDefault="00000000" w:rsidRPr="00000000" w14:paraId="0000004B">
      <w:pPr>
        <w:tabs>
          <w:tab w:val="right" w:leader="none" w:pos="9720"/>
        </w:tabs>
        <w:spacing w:after="60" w:line="240" w:lineRule="auto"/>
        <w:rPr>
          <w:rFonts w:ascii="Poppins" w:cs="Poppins" w:eastAsia="Poppins" w:hAnsi="Poppins"/>
        </w:rPr>
      </w:pPr>
      <w:r w:rsidDel="00000000" w:rsidR="00000000" w:rsidRPr="00000000">
        <w:rPr>
          <w:rFonts w:ascii="Poppins" w:cs="Poppins" w:eastAsia="Poppins" w:hAnsi="Poppins"/>
          <w:color w:val="000000"/>
          <w:sz w:val="21"/>
          <w:szCs w:val="21"/>
          <w:rtl w:val="0"/>
        </w:rPr>
        <w:t xml:space="preserve">Annexe B : Glossaire des termes clés et abréviations</w:t>
        <w:tab/>
        <w:t xml:space="preserve">42</w:t>
      </w:r>
      <w:r w:rsidDel="00000000" w:rsidR="00000000" w:rsidRPr="00000000">
        <w:rPr>
          <w:rtl w:val="0"/>
        </w:rPr>
      </w:r>
    </w:p>
    <w:p w:rsidR="00000000" w:rsidDel="00000000" w:rsidP="00000000" w:rsidRDefault="00000000" w:rsidRPr="00000000" w14:paraId="0000004C">
      <w:pPr>
        <w:tabs>
          <w:tab w:val="right" w:leader="none" w:pos="9720"/>
        </w:tabs>
        <w:spacing w:after="60" w:line="240" w:lineRule="auto"/>
        <w:rPr>
          <w:rFonts w:ascii="Poppins" w:cs="Poppins" w:eastAsia="Poppins" w:hAnsi="Poppins"/>
        </w:rPr>
      </w:pPr>
      <w:r w:rsidDel="00000000" w:rsidR="00000000" w:rsidRPr="00000000">
        <w:rPr>
          <w:rFonts w:ascii="Poppins" w:cs="Poppins" w:eastAsia="Poppins" w:hAnsi="Poppins"/>
          <w:color w:val="000000"/>
          <w:sz w:val="21"/>
          <w:szCs w:val="21"/>
          <w:rtl w:val="0"/>
        </w:rPr>
        <w:t xml:space="preserve">Bibliographie</w:t>
        <w:tab/>
        <w:t xml:space="preserve">45</w:t>
      </w:r>
      <w:r w:rsidDel="00000000" w:rsidR="00000000" w:rsidRPr="00000000">
        <w:rPr>
          <w:rtl w:val="0"/>
        </w:rPr>
      </w:r>
    </w:p>
    <w:p w:rsidR="00000000" w:rsidDel="00000000" w:rsidP="00000000" w:rsidRDefault="00000000" w:rsidRPr="00000000" w14:paraId="0000004D">
      <w:pPr>
        <w:tabs>
          <w:tab w:val="right" w:leader="none" w:pos="9720"/>
        </w:tabs>
        <w:spacing w:after="60" w:line="240" w:lineRule="auto"/>
        <w:ind w:left="259" w:firstLine="0"/>
        <w:rPr>
          <w:rFonts w:ascii="Poppins" w:cs="Poppins" w:eastAsia="Poppins" w:hAnsi="Poppins"/>
        </w:rPr>
      </w:pPr>
      <w:r w:rsidDel="00000000" w:rsidR="00000000" w:rsidRPr="00000000">
        <w:rPr>
          <w:rFonts w:ascii="Poppins" w:cs="Poppins" w:eastAsia="Poppins" w:hAnsi="Poppins"/>
          <w:color w:val="000000"/>
          <w:sz w:val="21"/>
          <w:szCs w:val="21"/>
          <w:rtl w:val="0"/>
        </w:rPr>
        <w:t xml:space="preserve">Sources primaires : rapports nationaux EMPOWER+</w:t>
        <w:tab/>
        <w:t xml:space="preserve">45</w:t>
      </w:r>
      <w:r w:rsidDel="00000000" w:rsidR="00000000" w:rsidRPr="00000000">
        <w:rPr>
          <w:rtl w:val="0"/>
        </w:rPr>
      </w:r>
    </w:p>
    <w:p w:rsidR="00000000" w:rsidDel="00000000" w:rsidP="00000000" w:rsidRDefault="00000000" w:rsidRPr="00000000" w14:paraId="0000004E">
      <w:pPr>
        <w:tabs>
          <w:tab w:val="right" w:leader="none" w:pos="9720"/>
        </w:tabs>
        <w:spacing w:after="60" w:line="240" w:lineRule="auto"/>
        <w:ind w:left="259" w:firstLine="0"/>
        <w:rPr>
          <w:rFonts w:ascii="Poppins" w:cs="Poppins" w:eastAsia="Poppins" w:hAnsi="Poppins"/>
        </w:rPr>
      </w:pPr>
      <w:r w:rsidDel="00000000" w:rsidR="00000000" w:rsidRPr="00000000">
        <w:rPr>
          <w:rFonts w:ascii="Poppins" w:cs="Poppins" w:eastAsia="Poppins" w:hAnsi="Poppins"/>
          <w:color w:val="000000"/>
          <w:sz w:val="21"/>
          <w:szCs w:val="21"/>
          <w:rtl w:val="0"/>
        </w:rPr>
        <w:t xml:space="preserve">Cadres politiques et normes internationales</w:t>
        <w:tab/>
        <w:t xml:space="preserve">45</w:t>
      </w:r>
      <w:r w:rsidDel="00000000" w:rsidR="00000000" w:rsidRPr="00000000">
        <w:rPr>
          <w:rtl w:val="0"/>
        </w:rPr>
      </w:r>
    </w:p>
    <w:p w:rsidR="00000000" w:rsidDel="00000000" w:rsidP="00000000" w:rsidRDefault="00000000" w:rsidRPr="00000000" w14:paraId="0000004F">
      <w:pPr>
        <w:tabs>
          <w:tab w:val="right" w:leader="none" w:pos="9720"/>
        </w:tabs>
        <w:spacing w:after="60" w:line="240" w:lineRule="auto"/>
        <w:ind w:left="259" w:firstLine="0"/>
        <w:rPr>
          <w:rFonts w:ascii="Poppins" w:cs="Poppins" w:eastAsia="Poppins" w:hAnsi="Poppins"/>
        </w:rPr>
      </w:pPr>
      <w:r w:rsidDel="00000000" w:rsidR="00000000" w:rsidRPr="00000000">
        <w:rPr>
          <w:rFonts w:ascii="Poppins" w:cs="Poppins" w:eastAsia="Poppins" w:hAnsi="Poppins"/>
          <w:color w:val="000000"/>
          <w:sz w:val="21"/>
          <w:szCs w:val="21"/>
          <w:rtl w:val="0"/>
        </w:rPr>
        <w:t xml:space="preserve">Littérature académique et institutionnelle</w:t>
        <w:tab/>
        <w:t xml:space="preserve">46</w:t>
      </w:r>
      <w:r w:rsidDel="00000000" w:rsidR="00000000" w:rsidRPr="00000000">
        <w:rPr>
          <w:rtl w:val="0"/>
        </w:rPr>
      </w:r>
    </w:p>
    <w:p w:rsidR="00000000" w:rsidDel="00000000" w:rsidP="00000000" w:rsidRDefault="00000000" w:rsidRPr="00000000" w14:paraId="00000050">
      <w:pPr>
        <w:pStyle w:val="Heading1"/>
        <w:keepNext w:val="1"/>
        <w:spacing w:after="120" w:before="360" w:lineRule="auto"/>
        <w:rPr>
          <w:rFonts w:ascii="Poppins" w:cs="Poppins" w:eastAsia="Poppins" w:hAnsi="Poppins"/>
          <w:color w:val="2f6b3a"/>
        </w:rPr>
      </w:pPr>
      <w:r w:rsidDel="00000000" w:rsidR="00000000" w:rsidRPr="00000000">
        <w:rPr>
          <w:rFonts w:ascii="Poppins" w:cs="Poppins" w:eastAsia="Poppins" w:hAnsi="Poppins"/>
          <w:color w:val="2f6b3a"/>
          <w:rtl w:val="0"/>
        </w:rPr>
        <w:t xml:space="preserve">Résumé exécutif</w:t>
      </w:r>
    </w:p>
    <w:p w:rsidR="00000000" w:rsidDel="00000000" w:rsidP="00000000" w:rsidRDefault="00000000" w:rsidRPr="00000000" w14:paraId="00000051">
      <w:pPr>
        <w:spacing w:after="100" w:before="60" w:lineRule="auto"/>
        <w:jc w:val="both"/>
        <w:rPr>
          <w:rFonts w:ascii="Poppins" w:cs="Poppins" w:eastAsia="Poppins" w:hAnsi="Poppins"/>
          <w:color w:val="1a1a1a"/>
        </w:rPr>
      </w:pPr>
      <w:r w:rsidDel="00000000" w:rsidR="00000000" w:rsidRPr="00000000">
        <w:rPr>
          <w:rFonts w:ascii="Poppins" w:cs="Poppins" w:eastAsia="Poppins" w:hAnsi="Poppins"/>
          <w:color w:val="1a1a1a"/>
          <w:rtl w:val="0"/>
        </w:rPr>
        <w:t xml:space="preserve">Ce Rapport de synthèse constitue le principal résultat analytique du Work Package 2 du projet EMPOWER+, Empowering Rural Youth: Establishing and Strengthening the Rural Youth Parliament in Sub-Saharan Africa (ERASMUS-YOUTH-2025-CB-SSA, Project No. 101243075). Il consolide les conclusions issues de quatorze exercices de recherche menés au niveau national entre 2025 et 2026 dans sept pays partenaires couvrant l’Afrique subsaharienne et l’Europe : le Botswana, Madagascar, Maurice, le Nigeria, la Grèce, l’Italie et la Roumanie.</w:t>
      </w:r>
    </w:p>
    <w:p w:rsidR="00000000" w:rsidDel="00000000" w:rsidP="00000000" w:rsidRDefault="00000000" w:rsidRPr="00000000" w14:paraId="00000052">
      <w:pPr>
        <w:spacing w:after="100" w:before="60" w:lineRule="auto"/>
        <w:jc w:val="both"/>
        <w:rPr>
          <w:rFonts w:ascii="Poppins" w:cs="Poppins" w:eastAsia="Poppins" w:hAnsi="Poppins"/>
          <w:color w:val="1a1a1a"/>
        </w:rPr>
      </w:pPr>
      <w:r w:rsidDel="00000000" w:rsidR="00000000" w:rsidRPr="00000000">
        <w:rPr>
          <w:rFonts w:ascii="Poppins" w:cs="Poppins" w:eastAsia="Poppins" w:hAnsi="Poppins"/>
          <w:color w:val="1a1a1a"/>
          <w:rtl w:val="0"/>
        </w:rPr>
        <w:t xml:space="preserve">Avant de concevoir les Parlements ruraux des jeunes (RYPs), le consortium EMPOWER+ a investi de manière systématique dans la compréhension du contexte. La Tâche 2.1 demandait à chaque partenaire de cartographier les ressources disponibles, les cadres juridiques et politiques, ainsi que les bonnes pratiques documentées en matière de participation des jeunes ruraux. La Tâche 2.2 demandait à chaque partenaire de publier un rapport analytique cartographiant les outils de participation des jeunes aux politiques publiques, analysant en profondeur les cadres juridiques, rendant compte des résultats des groupes de discussion et présentant des recommandations au niveau national. Ensemble, ces quatorze documents constituent à ce jour la base de données comparative la plus complète sur la participation des jeunes ruraux dans les sept pays partenaires d’EMPOWER+.</w:t>
      </w:r>
    </w:p>
    <w:p w:rsidR="00000000" w:rsidDel="00000000" w:rsidP="00000000" w:rsidRDefault="00000000" w:rsidRPr="00000000" w14:paraId="00000053">
      <w:pPr>
        <w:spacing w:after="100" w:before="60" w:lineRule="auto"/>
        <w:jc w:val="both"/>
        <w:rPr>
          <w:rFonts w:ascii="Poppins" w:cs="Poppins" w:eastAsia="Poppins" w:hAnsi="Poppins"/>
        </w:rPr>
      </w:pPr>
      <w:r w:rsidDel="00000000" w:rsidR="00000000" w:rsidRPr="00000000">
        <w:rPr>
          <w:rtl w:val="0"/>
        </w:rPr>
      </w:r>
    </w:p>
    <w:p w:rsidR="00000000" w:rsidDel="00000000" w:rsidP="00000000" w:rsidRDefault="00000000" w:rsidRPr="00000000" w14:paraId="00000054">
      <w:pPr>
        <w:pStyle w:val="Heading2"/>
        <w:keepNext w:val="1"/>
        <w:spacing w:after="80" w:before="280" w:lineRule="auto"/>
        <w:rPr>
          <w:rFonts w:ascii="Poppins" w:cs="Poppins" w:eastAsia="Poppins" w:hAnsi="Poppins"/>
          <w:color w:val="2f6b3a"/>
        </w:rPr>
      </w:pPr>
      <w:r w:rsidDel="00000000" w:rsidR="00000000" w:rsidRPr="00000000">
        <w:rPr>
          <w:rFonts w:ascii="Poppins" w:cs="Poppins" w:eastAsia="Poppins" w:hAnsi="Poppins"/>
          <w:color w:val="2f6b3a"/>
          <w:rtl w:val="0"/>
        </w:rPr>
        <w:t xml:space="preserve">Cinq messages clés</w:t>
      </w:r>
    </w:p>
    <w:p w:rsidR="00000000" w:rsidDel="00000000" w:rsidP="00000000" w:rsidRDefault="00000000" w:rsidRPr="00000000" w14:paraId="00000055">
      <w:pPr>
        <w:rPr>
          <w:rFonts w:ascii="Poppins" w:cs="Poppins" w:eastAsia="Poppins" w:hAnsi="Poppins"/>
          <w:color w:val="b7c3a1"/>
        </w:rPr>
      </w:pPr>
      <w:r w:rsidDel="00000000" w:rsidR="00000000" w:rsidRPr="00000000">
        <w:rPr>
          <w:rFonts w:ascii="Poppins" w:cs="Poppins" w:eastAsia="Poppins" w:hAnsi="Poppins"/>
          <w:b w:val="1"/>
          <w:bCs w:val="1"/>
          <w:color w:val="b7c3a1"/>
          <w:sz w:val="28"/>
          <w:szCs w:val="28"/>
          <w:rtl w:val="0"/>
        </w:rPr>
        <w:t xml:space="preserve">1. Les jeunes ruraux sont exclus des décisions qui façonnent leur vie</w:t>
      </w:r>
      <w:r w:rsidDel="00000000" w:rsidR="00000000" w:rsidRPr="00000000">
        <w:rPr>
          <w:rtl w:val="0"/>
        </w:rPr>
      </w:r>
    </w:p>
    <w:p w:rsidR="00000000" w:rsidDel="00000000" w:rsidP="00000000" w:rsidRDefault="00000000" w:rsidRPr="00000000" w14:paraId="00000056">
      <w:pPr>
        <w:jc w:val="both"/>
        <w:rPr>
          <w:rFonts w:ascii="Poppins" w:cs="Poppins" w:eastAsia="Poppins" w:hAnsi="Poppins"/>
          <w:color w:val="1a1a1a"/>
        </w:rPr>
      </w:pPr>
      <w:r w:rsidDel="00000000" w:rsidR="00000000" w:rsidRPr="00000000">
        <w:rPr>
          <w:rFonts w:ascii="Poppins" w:cs="Poppins" w:eastAsia="Poppins" w:hAnsi="Poppins"/>
          <w:color w:val="1a1a1a"/>
          <w:rtl w:val="0"/>
        </w:rPr>
        <w:t xml:space="preserve">Dans chaque pays partenaire, les droits formels de participer à la gouvernance existent sur le papier, mais l’accès pratique est fortement limité pour les jeunes ruraux. L’isolement géographique, l’absence de transports adéquats, le manque d’informations sur les possibilités de participation, les difficultés économiques et les normes culturelles qui considèrent les jeunes comme trop jeunes pour diriger se combinent pour maintenir les jeunes ruraux aux marges de la gouvernance formelle. Cette exclusion n’est pas accidentelle ; elle est le résultat prévisible de systèmes de participation conçus sans tenir compte des jeunes ruraux.</w:t>
      </w:r>
    </w:p>
    <w:p w:rsidR="00000000" w:rsidDel="00000000" w:rsidP="00000000" w:rsidRDefault="00000000" w:rsidRPr="00000000" w14:paraId="00000057">
      <w:pPr>
        <w:rPr>
          <w:rFonts w:ascii="Poppins" w:cs="Poppins" w:eastAsia="Poppins" w:hAnsi="Poppins"/>
          <w:b w:val="1"/>
          <w:bCs w:val="1"/>
          <w:color w:val="b7c3a1"/>
          <w:sz w:val="28"/>
          <w:szCs w:val="28"/>
        </w:rPr>
      </w:pPr>
      <w:r w:rsidDel="00000000" w:rsidR="00000000" w:rsidRPr="00000000">
        <w:rPr>
          <w:rFonts w:ascii="Poppins" w:cs="Poppins" w:eastAsia="Poppins" w:hAnsi="Poppins"/>
          <w:b w:val="1"/>
          <w:bCs w:val="1"/>
          <w:color w:val="b7c3a1"/>
          <w:sz w:val="28"/>
          <w:szCs w:val="28"/>
          <w:rtl w:val="0"/>
        </w:rPr>
        <w:t xml:space="preserve">2. La participation est répandue, mais rarement significative</w:t>
      </w:r>
    </w:p>
    <w:p w:rsidR="00000000" w:rsidDel="00000000" w:rsidP="00000000" w:rsidRDefault="00000000" w:rsidRPr="00000000" w14:paraId="00000058">
      <w:pPr>
        <w:jc w:val="both"/>
        <w:rPr>
          <w:rFonts w:ascii="Poppins" w:cs="Poppins" w:eastAsia="Poppins" w:hAnsi="Poppins"/>
          <w:color w:val="1a1a1a"/>
        </w:rPr>
      </w:pPr>
      <w:r w:rsidDel="00000000" w:rsidR="00000000" w:rsidRPr="00000000">
        <w:rPr>
          <w:rFonts w:ascii="Poppins" w:cs="Poppins" w:eastAsia="Poppins" w:hAnsi="Poppins"/>
          <w:color w:val="1a1a1a"/>
          <w:rtl w:val="0"/>
        </w:rPr>
        <w:t xml:space="preserve">Dans les sept pays, les jeunes participent à des réunions communautaires, siègent dans des conseils consultatifs et contribuent à des processus de consultation. Ce que les données montrent de manière constante, c’est que cette participation est principalement consultative, et non influente dans la prise de décision. Les contributions sont rarement suivies, le retour d’information de la part des décideurs est faible ou absent, et le lien causal visible entre les contributions des jeunes et les décisions politiques réelles est presque universellement absent. Ce modèle de participation symbolique engendre désillusion et désengagement.</w:t>
      </w:r>
    </w:p>
    <w:p w:rsidR="00000000" w:rsidDel="00000000" w:rsidP="00000000" w:rsidRDefault="00000000" w:rsidRPr="00000000" w14:paraId="00000059">
      <w:pPr>
        <w:ind w:left="720" w:firstLine="0"/>
        <w:rPr>
          <w:rFonts w:ascii="Poppins" w:cs="Poppins" w:eastAsia="Poppins" w:hAnsi="Poppins"/>
          <w:color w:val="1a1a1a"/>
        </w:rPr>
      </w:pPr>
      <w:r w:rsidDel="00000000" w:rsidR="00000000" w:rsidRPr="00000000">
        <w:rPr>
          <w:rtl w:val="0"/>
        </w:rPr>
      </w:r>
    </w:p>
    <w:p w:rsidR="00000000" w:rsidDel="00000000" w:rsidP="00000000" w:rsidRDefault="00000000" w:rsidRPr="00000000" w14:paraId="0000005A">
      <w:pPr>
        <w:rPr>
          <w:rFonts w:ascii="Poppins" w:cs="Poppins" w:eastAsia="Poppins" w:hAnsi="Poppins"/>
          <w:color w:val="b7c3a1"/>
        </w:rPr>
      </w:pPr>
      <w:r w:rsidDel="00000000" w:rsidR="00000000" w:rsidRPr="00000000">
        <w:rPr>
          <w:rFonts w:ascii="Poppins" w:cs="Poppins" w:eastAsia="Poppins" w:hAnsi="Poppins"/>
          <w:b w:val="1"/>
          <w:bCs w:val="1"/>
          <w:color w:val="b7c3a1"/>
          <w:sz w:val="28"/>
          <w:szCs w:val="28"/>
          <w:rtl w:val="0"/>
        </w:rPr>
        <w:t xml:space="preserve">3. Les structures communautaires sont les points d’entrée les plus fiables</w:t>
      </w:r>
      <w:r w:rsidDel="00000000" w:rsidR="00000000" w:rsidRPr="00000000">
        <w:rPr>
          <w:rtl w:val="0"/>
        </w:rPr>
      </w:r>
    </w:p>
    <w:p w:rsidR="00000000" w:rsidDel="00000000" w:rsidP="00000000" w:rsidRDefault="00000000" w:rsidRPr="00000000" w14:paraId="0000005B">
      <w:pPr>
        <w:jc w:val="both"/>
        <w:rPr>
          <w:rFonts w:ascii="Poppins" w:cs="Poppins" w:eastAsia="Poppins" w:hAnsi="Poppins"/>
          <w:color w:val="1a1a1a"/>
        </w:rPr>
      </w:pPr>
      <w:r w:rsidDel="00000000" w:rsidR="00000000" w:rsidRPr="00000000">
        <w:rPr>
          <w:rFonts w:ascii="Poppins" w:cs="Poppins" w:eastAsia="Poppins" w:hAnsi="Poppins"/>
          <w:color w:val="1a1a1a"/>
          <w:rtl w:val="0"/>
        </w:rPr>
        <w:t xml:space="preserve">Les espaces de participation les plus accessibles et les plus fiables pour les jeunes ruraux ne sont pas les structures étatiques formelles, mais les institutions communautaires : les assemblées Kgotla et les Comités de développement villageois au Botswana ; les associations de classes d’âge et le leadership traditionnel des jeunes Sarkin Samari au Nigeria ; les groupes scouts et la garde communautaire andrimasompokonolona à Madagascar ; les réseaux YUVA et les Maisons Familiales Rurales à Maurice ; les Groupes de soutien locaux YEPP Italia en Italie ; le modèle de Parlement rural des jeunes de LAG Napoca Porolissum en Roumanie ; et les Conseils municipaux des jeunes en Grèce. Les Parlements ruraux des jeunes efficaces doivent être enracinés dans ces réalités communautaires.</w:t>
      </w:r>
    </w:p>
    <w:p w:rsidR="00000000" w:rsidDel="00000000" w:rsidP="00000000" w:rsidRDefault="00000000" w:rsidRPr="00000000" w14:paraId="0000005C">
      <w:pPr>
        <w:rPr>
          <w:rFonts w:ascii="Poppins" w:cs="Poppins" w:eastAsia="Poppins" w:hAnsi="Poppins"/>
          <w:color w:val="1a1a1a"/>
        </w:rPr>
      </w:pPr>
      <w:r w:rsidDel="00000000" w:rsidR="00000000" w:rsidRPr="00000000">
        <w:rPr>
          <w:rtl w:val="0"/>
        </w:rPr>
      </w:r>
    </w:p>
    <w:p w:rsidR="00000000" w:rsidDel="00000000" w:rsidP="00000000" w:rsidRDefault="00000000" w:rsidRPr="00000000" w14:paraId="0000005D">
      <w:pPr>
        <w:rPr>
          <w:rFonts w:ascii="Poppins" w:cs="Poppins" w:eastAsia="Poppins" w:hAnsi="Poppins"/>
          <w:b w:val="1"/>
          <w:bCs w:val="1"/>
          <w:color w:val="b7c3a1"/>
          <w:sz w:val="28"/>
          <w:szCs w:val="28"/>
        </w:rPr>
      </w:pPr>
      <w:r w:rsidDel="00000000" w:rsidR="00000000" w:rsidRPr="00000000">
        <w:rPr>
          <w:rFonts w:ascii="Poppins" w:cs="Poppins" w:eastAsia="Poppins" w:hAnsi="Poppins"/>
          <w:b w:val="1"/>
          <w:bCs w:val="1"/>
          <w:color w:val="b7c3a1"/>
          <w:sz w:val="28"/>
          <w:szCs w:val="28"/>
          <w:rtl w:val="0"/>
        </w:rPr>
        <w:t xml:space="preserve">4. Les lacunes de financement constituent une contrainte déterminante partout</w:t>
      </w:r>
    </w:p>
    <w:p w:rsidR="00000000" w:rsidDel="00000000" w:rsidP="00000000" w:rsidRDefault="00000000" w:rsidRPr="00000000" w14:paraId="0000005E">
      <w:pPr>
        <w:jc w:val="both"/>
        <w:rPr>
          <w:rFonts w:ascii="Poppins" w:cs="Poppins" w:eastAsia="Poppins" w:hAnsi="Poppins"/>
          <w:color w:val="1a1a1a"/>
        </w:rPr>
      </w:pPr>
      <w:r w:rsidDel="00000000" w:rsidR="00000000" w:rsidRPr="00000000">
        <w:rPr>
          <w:rFonts w:ascii="Poppins" w:cs="Poppins" w:eastAsia="Poppins" w:hAnsi="Poppins"/>
          <w:color w:val="1a1a1a"/>
          <w:rtl w:val="0"/>
        </w:rPr>
        <w:t xml:space="preserve">Les dépenses publiques liées à la jeunesse sont chroniquement insuffisantes dans les sept pays partenaires. Au Nigeria, les dépenses liées à la jeunesse représentent moins d’un pour cent des budgets des États dans la plupart des États, avec une dépense par jeune dans l’État de Kogi aussi faible que 4 299 NGN. À Madagascar, les jeunes ne peuvent pas se permettre le transport vers les réunions de participation. Même dans les pays partenaires européens, les structures de participation sont soutenues par des financements fondés sur des projets plutôt que par des lignes budgétaires institutionnelles, ce qui crée une fragilité structurelle et un engagement épisodique. Une participation durable exige des ressources prévisibles et dédiées, qui sont systématiquement absentes.</w:t>
      </w:r>
    </w:p>
    <w:p w:rsidR="00000000" w:rsidDel="00000000" w:rsidP="00000000" w:rsidRDefault="00000000" w:rsidRPr="00000000" w14:paraId="0000005F">
      <w:pPr>
        <w:rPr>
          <w:rFonts w:ascii="Poppins" w:cs="Poppins" w:eastAsia="Poppins" w:hAnsi="Poppins"/>
        </w:rPr>
      </w:pPr>
      <w:r w:rsidDel="00000000" w:rsidR="00000000" w:rsidRPr="00000000">
        <w:rPr>
          <w:rtl w:val="0"/>
        </w:rPr>
      </w:r>
    </w:p>
    <w:p w:rsidR="00000000" w:rsidDel="00000000" w:rsidP="00000000" w:rsidRDefault="00000000" w:rsidRPr="00000000" w14:paraId="00000060">
      <w:pPr>
        <w:rPr>
          <w:rFonts w:ascii="Poppins" w:cs="Poppins" w:eastAsia="Poppins" w:hAnsi="Poppins"/>
          <w:b w:val="1"/>
          <w:bCs w:val="1"/>
          <w:color w:val="b7c3a1"/>
          <w:sz w:val="28"/>
          <w:szCs w:val="28"/>
        </w:rPr>
      </w:pPr>
      <w:r w:rsidDel="00000000" w:rsidR="00000000" w:rsidRPr="00000000">
        <w:rPr>
          <w:rFonts w:ascii="Poppins" w:cs="Poppins" w:eastAsia="Poppins" w:hAnsi="Poppins"/>
          <w:b w:val="1"/>
          <w:bCs w:val="1"/>
          <w:color w:val="b7c3a1"/>
          <w:sz w:val="28"/>
          <w:szCs w:val="28"/>
          <w:rtl w:val="0"/>
        </w:rPr>
        <w:t xml:space="preserve">5. L’Europe dispose de modèles éprouvés ; l’Afrique subsaharienne dispose de l’énergie</w:t>
      </w:r>
    </w:p>
    <w:p w:rsidR="00000000" w:rsidDel="00000000" w:rsidP="00000000" w:rsidRDefault="00000000" w:rsidRPr="00000000" w14:paraId="00000061">
      <w:pPr>
        <w:pStyle w:val="Heading2"/>
        <w:keepNext w:val="1"/>
        <w:spacing w:after="80" w:before="280" w:lineRule="auto"/>
        <w:jc w:val="both"/>
        <w:rPr>
          <w:rFonts w:ascii="Poppins" w:cs="Poppins" w:eastAsia="Poppins" w:hAnsi="Poppins"/>
          <w:b w:val="0"/>
          <w:bCs w:val="0"/>
          <w:color w:val="1a1a1a"/>
          <w:sz w:val="22"/>
          <w:szCs w:val="22"/>
        </w:rPr>
      </w:pPr>
      <w:bookmarkStart w:colFirst="0" w:colLast="0" w:name="_heading=h.ks3zsbqxx08c" w:id="0"/>
      <w:bookmarkEnd w:id="0"/>
      <w:r w:rsidDel="00000000" w:rsidR="00000000" w:rsidRPr="00000000">
        <w:rPr>
          <w:rFonts w:ascii="Poppins" w:cs="Poppins" w:eastAsia="Poppins" w:hAnsi="Poppins"/>
          <w:b w:val="0"/>
          <w:bCs w:val="0"/>
          <w:color w:val="1a1a1a"/>
          <w:sz w:val="22"/>
          <w:szCs w:val="22"/>
          <w:rtl w:val="0"/>
        </w:rPr>
        <w:t xml:space="preserve">La méthodologie du Parlement rural des jeunes de Roumanie, développée au sein du territoire montagneux de LAG Napoca Porolissum, offre le modèle européen le plus directement applicable à l’adaptation en Afrique subsaharienne. Les Groupes de soutien locaux YEPP d’Italie offrent une méthodologie sophistiquée d’autonomisation combinant mise à disposition de ressources, véritable appropriation par les jeunes et investissement relationnel à long terme. L’Afrique subsaharienne apporte une énergie communautaire extraordinaire, une profonde vitalité associative et un appétit unanime pour les Parlements ruraux des jeunes parmi toutes les parties prenantes consultées. EMPOWER+ facilite un transfert de connaissances véritable, respectueux et bidirectionnel entre ces deux contextes continentaux.</w:t>
      </w:r>
    </w:p>
    <w:p w:rsidR="00000000" w:rsidDel="00000000" w:rsidP="00000000" w:rsidRDefault="00000000" w:rsidRPr="00000000" w14:paraId="00000062">
      <w:pPr>
        <w:pStyle w:val="Heading2"/>
        <w:keepNext w:val="1"/>
        <w:spacing w:after="80" w:before="280" w:lineRule="auto"/>
        <w:rPr>
          <w:rFonts w:ascii="Poppins" w:cs="Poppins" w:eastAsia="Poppins" w:hAnsi="Poppins"/>
          <w:color w:val="2f6b3a"/>
        </w:rPr>
      </w:pPr>
      <w:r w:rsidDel="00000000" w:rsidR="00000000" w:rsidRPr="00000000">
        <w:rPr>
          <w:rFonts w:ascii="Poppins" w:cs="Poppins" w:eastAsia="Poppins" w:hAnsi="Poppins"/>
          <w:color w:val="2f6b3a"/>
          <w:rtl w:val="0"/>
        </w:rPr>
        <w:t xml:space="preserve">Six recommandations principales</w:t>
      </w:r>
    </w:p>
    <w:p w:rsidR="00000000" w:rsidDel="00000000" w:rsidP="00000000" w:rsidRDefault="00000000" w:rsidRPr="00000000" w14:paraId="00000063">
      <w:pPr>
        <w:jc w:val="both"/>
        <w:rPr>
          <w:rFonts w:ascii="Poppins" w:cs="Poppins" w:eastAsia="Poppins" w:hAnsi="Poppins"/>
          <w:color w:val="1a1a1a"/>
        </w:rPr>
      </w:pPr>
      <w:r w:rsidDel="00000000" w:rsidR="00000000" w:rsidRPr="00000000">
        <w:rPr>
          <w:rtl w:val="0"/>
        </w:rPr>
      </w:r>
    </w:p>
    <w:p w:rsidR="00000000" w:rsidDel="00000000" w:rsidP="00000000" w:rsidRDefault="00000000" w:rsidRPr="00000000" w14:paraId="0000006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Poppins" w:cs="Poppins" w:eastAsia="Poppins" w:hAnsi="Poppins"/>
          <w:i w:val="0"/>
          <w:iCs w:val="0"/>
          <w:smallCaps w:val="0"/>
          <w:strike w:val="0"/>
          <w:color w:val="1a1a1a"/>
          <w:sz w:val="22"/>
          <w:szCs w:val="22"/>
          <w:shd w:fill="auto" w:val="clear"/>
          <w:vertAlign w:val="baseline"/>
        </w:rPr>
      </w:pPr>
      <w:r w:rsidDel="00000000" w:rsidR="00000000" w:rsidRPr="00000000">
        <w:rPr>
          <w:rFonts w:ascii="Poppins" w:cs="Poppins" w:eastAsia="Poppins" w:hAnsi="Poppins"/>
          <w:i w:val="0"/>
          <w:iCs w:val="0"/>
          <w:smallCaps w:val="0"/>
          <w:strike w:val="0"/>
          <w:color w:val="1a1a1a"/>
          <w:sz w:val="22"/>
          <w:szCs w:val="22"/>
          <w:u w:val="none"/>
          <w:shd w:fill="auto" w:val="clear"/>
          <w:vertAlign w:val="baseline"/>
          <w:rtl w:val="0"/>
        </w:rPr>
        <w:t xml:space="preserve">Ancrer les Parlements ruraux des jeunes au niveau local, à l’échelle du quartier, du district ou de la zone de gouvernement local, là où les jeunes ruraux vivent réellement, en assurant dès le départ une reconnaissance institutionnelle et un financement public dédié.</w:t>
      </w:r>
    </w:p>
    <w:p w:rsidR="00000000" w:rsidDel="00000000" w:rsidP="00000000" w:rsidRDefault="00000000" w:rsidRPr="00000000" w14:paraId="0000006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Poppins" w:cs="Poppins" w:eastAsia="Poppins" w:hAnsi="Poppins"/>
          <w:i w:val="0"/>
          <w:iCs w:val="0"/>
          <w:smallCaps w:val="0"/>
          <w:strike w:val="0"/>
          <w:color w:val="1a1a1a"/>
          <w:sz w:val="22"/>
          <w:szCs w:val="22"/>
          <w:shd w:fill="auto" w:val="clear"/>
          <w:vertAlign w:val="baseline"/>
        </w:rPr>
      </w:pPr>
      <w:r w:rsidDel="00000000" w:rsidR="00000000" w:rsidRPr="00000000">
        <w:rPr>
          <w:rFonts w:ascii="Poppins" w:cs="Poppins" w:eastAsia="Poppins" w:hAnsi="Poppins"/>
          <w:i w:val="0"/>
          <w:iCs w:val="0"/>
          <w:smallCaps w:val="0"/>
          <w:strike w:val="0"/>
          <w:color w:val="1a1a1a"/>
          <w:sz w:val="22"/>
          <w:szCs w:val="22"/>
          <w:u w:val="none"/>
          <w:shd w:fill="auto" w:val="clear"/>
          <w:vertAlign w:val="baseline"/>
          <w:rtl w:val="0"/>
        </w:rPr>
        <w:t xml:space="preserve">Passer structurellement de la consultation à la codécision. Concevoir les RYPs avec des canaux formels pour soumettre des propositions aux autorités, des mécanismes de réponse obligatoires et un suivi public permettant de vérifier si les contributions des jeunes conduisent à une action traçable.</w:t>
      </w:r>
    </w:p>
    <w:p w:rsidR="00000000" w:rsidDel="00000000" w:rsidP="00000000" w:rsidRDefault="00000000" w:rsidRPr="00000000" w14:paraId="0000006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Poppins" w:cs="Poppins" w:eastAsia="Poppins" w:hAnsi="Poppins"/>
          <w:i w:val="0"/>
          <w:iCs w:val="0"/>
          <w:smallCaps w:val="0"/>
          <w:strike w:val="0"/>
          <w:color w:val="1a1a1a"/>
          <w:sz w:val="22"/>
          <w:szCs w:val="22"/>
          <w:shd w:fill="auto" w:val="clear"/>
          <w:vertAlign w:val="baseline"/>
        </w:rPr>
      </w:pPr>
      <w:r w:rsidDel="00000000" w:rsidR="00000000" w:rsidRPr="00000000">
        <w:rPr>
          <w:rFonts w:ascii="Poppins" w:cs="Poppins" w:eastAsia="Poppins" w:hAnsi="Poppins"/>
          <w:i w:val="0"/>
          <w:iCs w:val="0"/>
          <w:smallCaps w:val="0"/>
          <w:strike w:val="0"/>
          <w:color w:val="1a1a1a"/>
          <w:sz w:val="22"/>
          <w:szCs w:val="22"/>
          <w:u w:val="none"/>
          <w:shd w:fill="auto" w:val="clear"/>
          <w:vertAlign w:val="baseline"/>
          <w:rtl w:val="0"/>
        </w:rPr>
        <w:t xml:space="preserve">Concevoir toutes les activités de participation en fonction de la réalité rurale : veiller à ce que le calendrier, le lieu, la langue et le coût de la participation soient réellement compatibles avec les moyens de subsistance ruraux, et fournir un soutien au transport et à la subsistance comme pratique standard.</w:t>
      </w:r>
    </w:p>
    <w:p w:rsidR="00000000" w:rsidDel="00000000" w:rsidP="00000000" w:rsidRDefault="00000000" w:rsidRPr="00000000" w14:paraId="0000006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Poppins" w:cs="Poppins" w:eastAsia="Poppins" w:hAnsi="Poppins"/>
          <w:i w:val="0"/>
          <w:iCs w:val="0"/>
          <w:smallCaps w:val="0"/>
          <w:strike w:val="0"/>
          <w:color w:val="1a1a1a"/>
          <w:sz w:val="22"/>
          <w:szCs w:val="22"/>
          <w:shd w:fill="auto" w:val="clear"/>
          <w:vertAlign w:val="baseline"/>
        </w:rPr>
      </w:pPr>
      <w:r w:rsidDel="00000000" w:rsidR="00000000" w:rsidRPr="00000000">
        <w:rPr>
          <w:rFonts w:ascii="Poppins" w:cs="Poppins" w:eastAsia="Poppins" w:hAnsi="Poppins"/>
          <w:i w:val="0"/>
          <w:iCs w:val="0"/>
          <w:smallCaps w:val="0"/>
          <w:strike w:val="0"/>
          <w:color w:val="1a1a1a"/>
          <w:sz w:val="22"/>
          <w:szCs w:val="22"/>
          <w:u w:val="none"/>
          <w:shd w:fill="auto" w:val="clear"/>
          <w:vertAlign w:val="baseline"/>
          <w:rtl w:val="0"/>
        </w:rPr>
        <w:t xml:space="preserve">Travailler avec les leaders traditionnels et communautaires comme partenaires actifs dans la conception, le lancement et la gouvernance des RYPs, et non comme simples soutiens passifs. Dans les contextes d’Afrique subsaharienne, la légitimité de l’autorité traditionnelle est une ressource qui fait la différence entre durabilité et effondrement.</w:t>
      </w:r>
    </w:p>
    <w:p w:rsidR="00000000" w:rsidDel="00000000" w:rsidP="00000000" w:rsidRDefault="00000000" w:rsidRPr="00000000" w14:paraId="0000006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Poppins" w:cs="Poppins" w:eastAsia="Poppins" w:hAnsi="Poppins"/>
          <w:i w:val="0"/>
          <w:iCs w:val="0"/>
          <w:smallCaps w:val="0"/>
          <w:strike w:val="0"/>
          <w:color w:val="1a1a1a"/>
          <w:sz w:val="22"/>
          <w:szCs w:val="22"/>
          <w:shd w:fill="auto" w:val="clear"/>
          <w:vertAlign w:val="baseline"/>
        </w:rPr>
      </w:pPr>
      <w:r w:rsidDel="00000000" w:rsidR="00000000" w:rsidRPr="00000000">
        <w:rPr>
          <w:rFonts w:ascii="Poppins" w:cs="Poppins" w:eastAsia="Poppins" w:hAnsi="Poppins"/>
          <w:i w:val="0"/>
          <w:iCs w:val="0"/>
          <w:smallCaps w:val="0"/>
          <w:strike w:val="0"/>
          <w:color w:val="1a1a1a"/>
          <w:sz w:val="22"/>
          <w:szCs w:val="22"/>
          <w:u w:val="none"/>
          <w:shd w:fill="auto" w:val="clear"/>
          <w:vertAlign w:val="baseline"/>
          <w:rtl w:val="0"/>
        </w:rPr>
        <w:t xml:space="preserve">Intégrer l’inclusion des plus exclus dès la conception des RYPs : les quotas minimums pour les jeunes femmes, les jeunes en situation de handicap, les jeunes ayant abandonné l’école et les jeunes issus des communautés les plus reculées doivent être des exigences constitutionnelles, et non des ajouts aspirationnels.</w:t>
      </w:r>
    </w:p>
    <w:p w:rsidR="00000000" w:rsidDel="00000000" w:rsidP="00000000" w:rsidRDefault="00000000" w:rsidRPr="00000000" w14:paraId="0000006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Poppins" w:cs="Poppins" w:eastAsia="Poppins" w:hAnsi="Poppins"/>
          <w:i w:val="0"/>
          <w:iCs w:val="0"/>
          <w:smallCaps w:val="0"/>
          <w:strike w:val="0"/>
          <w:color w:val="1a1a1a"/>
          <w:sz w:val="22"/>
          <w:szCs w:val="22"/>
          <w:shd w:fill="auto" w:val="clear"/>
          <w:vertAlign w:val="baseline"/>
        </w:rPr>
      </w:pPr>
      <w:r w:rsidDel="00000000" w:rsidR="00000000" w:rsidRPr="00000000">
        <w:rPr>
          <w:rFonts w:ascii="Poppins" w:cs="Poppins" w:eastAsia="Poppins" w:hAnsi="Poppins"/>
          <w:i w:val="0"/>
          <w:iCs w:val="0"/>
          <w:smallCaps w:val="0"/>
          <w:strike w:val="0"/>
          <w:color w:val="1a1a1a"/>
          <w:sz w:val="22"/>
          <w:szCs w:val="22"/>
          <w:u w:val="none"/>
          <w:shd w:fill="auto" w:val="clear"/>
          <w:vertAlign w:val="baseline"/>
          <w:rtl w:val="0"/>
        </w:rPr>
        <w:t xml:space="preserve">Planifier activement la durabilité au-delà du cycle du projet. Former des facilitateurs locaux, intégrer les activités des RYPs dans les calendriers de gouvernance et construire des réseaux de pairs. La mesure du succès est ce qui perdure après la fin d’EMPOWER+.</w:t>
      </w:r>
    </w:p>
    <w:p w:rsidR="00000000" w:rsidDel="00000000" w:rsidP="00000000" w:rsidRDefault="00000000" w:rsidRPr="00000000" w14:paraId="0000006A">
      <w:pPr>
        <w:rPr>
          <w:rFonts w:ascii="Poppins" w:cs="Poppins" w:eastAsia="Poppins" w:hAnsi="Poppins"/>
          <w:color w:val="1a1a1a"/>
        </w:rPr>
      </w:pPr>
      <w:r w:rsidDel="00000000" w:rsidR="00000000" w:rsidRPr="00000000">
        <w:rPr>
          <w:rtl w:val="0"/>
        </w:rPr>
      </w:r>
    </w:p>
    <w:p w:rsidR="00000000" w:rsidDel="00000000" w:rsidP="00000000" w:rsidRDefault="00000000" w:rsidRPr="00000000" w14:paraId="0000006B">
      <w:pPr>
        <w:rPr>
          <w:rFonts w:ascii="Poppins" w:cs="Poppins" w:eastAsia="Poppins" w:hAnsi="Poppins"/>
          <w:i w:val="1"/>
          <w:iCs w:val="1"/>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-242886</wp:posOffset>
                </wp:positionH>
                <wp:positionV relativeFrom="paragraph">
                  <wp:posOffset>99377</wp:posOffset>
                </wp:positionV>
                <wp:extent cx="6084051" cy="981075"/>
                <wp:effectExtent b="0" l="0" r="0" t="0"/>
                <wp:wrapNone/>
                <wp:docPr id="2" name=""/>
                <a:graphic>
                  <a:graphicData uri="http://schemas.microsoft.com/office/word/2010/wordprocessingShape">
                    <wps:wsp>
                      <wps:cNvSpPr/>
                      <wps:cNvPr id="3" name="Shape 3"/>
                      <wps:spPr>
                        <a:xfrm>
                          <a:off x="2308737" y="3294225"/>
                          <a:ext cx="6074526" cy="971550"/>
                        </a:xfrm>
                        <a:prstGeom prst="rect">
                          <a:avLst/>
                        </a:prstGeom>
                        <a:noFill/>
                        <a:ln cap="flat" cmpd="sng" w="9525">
                          <a:solidFill>
                            <a:schemeClr val="accent3"/>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-242886</wp:posOffset>
                </wp:positionH>
                <wp:positionV relativeFrom="paragraph">
                  <wp:posOffset>99377</wp:posOffset>
                </wp:positionV>
                <wp:extent cx="6084051" cy="981075"/>
                <wp:effectExtent b="0" l="0" r="0" t="0"/>
                <wp:wrapNone/>
                <wp:docPr id="2" name="image6.png"/>
                <a:graphic>
                  <a:graphicData uri="http://schemas.openxmlformats.org/drawingml/2006/picture">
                    <pic:pic>
                      <pic:nvPicPr>
                        <pic:cNvPr id="0" name="image6.png"/>
                        <pic:cNvPicPr preferRelativeResize="0"/>
                      </pic:nvPicPr>
                      <pic:blipFill>
                        <a:blip r:embed="rId11"/>
                        <a:srcRect/>
                        <a:stretch>
                          <a:fillRect/>
                        </a:stretch>
                      </pic:blipFill>
                      <pic:spPr>
                        <a:xfrm>
                          <a:off x="0" y="0"/>
                          <a:ext cx="6084051" cy="981075"/>
                        </a:xfrm>
                        <a:prstGeom prst="rect"/>
                        <a:ln/>
                      </pic:spPr>
                    </pic:pic>
                  </a:graphicData>
                </a:graphic>
              </wp:anchor>
            </w:drawing>
          </mc:Fallback>
        </mc:AlternateContent>
      </w:r>
    </w:p>
    <w:p w:rsidR="00000000" w:rsidDel="00000000" w:rsidP="00000000" w:rsidRDefault="00000000" w:rsidRPr="00000000" w14:paraId="0000006C">
      <w:pPr>
        <w:rPr>
          <w:rFonts w:ascii="Poppins" w:cs="Poppins" w:eastAsia="Poppins" w:hAnsi="Poppins"/>
        </w:rPr>
      </w:pPr>
      <w:r w:rsidDel="00000000" w:rsidR="00000000" w:rsidRPr="00000000">
        <w:rPr>
          <w:rFonts w:ascii="Poppins" w:cs="Poppins" w:eastAsia="Poppins" w:hAnsi="Poppins"/>
          <w:i w:val="1"/>
          <w:iCs w:val="1"/>
          <w:rtl w:val="0"/>
        </w:rPr>
        <w:t xml:space="preserve">Les conclusions analytiques complètes, les données nationales, l’analyse comparative et les recommandations détaillées qui soutiennent ces conclusions sont présentées dans les Sections 1 à 6 de ce rapport. L’Annexe A fournit des profils synthétiques par pays ; l’Annexe B fournit un glossaire des termes clés et des abréviations.</w:t>
      </w:r>
      <w:r w:rsidDel="00000000" w:rsidR="00000000" w:rsidRPr="00000000">
        <w:br w:type="page"/>
      </w:r>
      <w:r w:rsidDel="00000000" w:rsidR="00000000" w:rsidRPr="00000000">
        <w:rPr>
          <w:rtl w:val="0"/>
        </w:rPr>
      </w:r>
    </w:p>
    <w:p w:rsidR="00000000" w:rsidDel="00000000" w:rsidP="00000000" w:rsidRDefault="00000000" w:rsidRPr="00000000" w14:paraId="0000006D">
      <w:pPr>
        <w:pStyle w:val="Heading1"/>
        <w:keepNext w:val="1"/>
        <w:spacing w:after="120" w:before="360" w:lineRule="auto"/>
        <w:rPr>
          <w:rFonts w:ascii="Poppins" w:cs="Poppins" w:eastAsia="Poppins" w:hAnsi="Poppins"/>
          <w:color w:val="2f6b3a"/>
        </w:rPr>
      </w:pPr>
      <w:bookmarkStart w:colFirst="0" w:colLast="0" w:name="_heading=h.9ovgk0wiaxpw" w:id="1"/>
      <w:bookmarkEnd w:id="1"/>
      <w:r w:rsidDel="00000000" w:rsidR="00000000" w:rsidRPr="00000000">
        <w:rPr>
          <w:rFonts w:ascii="Poppins" w:cs="Poppins" w:eastAsia="Poppins" w:hAnsi="Poppins"/>
          <w:color w:val="2f6b3a"/>
          <w:rtl w:val="0"/>
        </w:rPr>
        <w:t xml:space="preserve">1. Introduction</w:t>
      </w:r>
    </w:p>
    <w:p w:rsidR="00000000" w:rsidDel="00000000" w:rsidP="00000000" w:rsidRDefault="00000000" w:rsidRPr="00000000" w14:paraId="0000006E">
      <w:pPr>
        <w:spacing w:after="100" w:before="60" w:lineRule="auto"/>
        <w:jc w:val="both"/>
        <w:rPr>
          <w:rFonts w:ascii="Poppins" w:cs="Poppins" w:eastAsia="Poppins" w:hAnsi="Poppins"/>
          <w:b w:val="1"/>
          <w:bCs w:val="1"/>
          <w:color w:val="b7c3a1"/>
          <w:sz w:val="36"/>
          <w:szCs w:val="36"/>
        </w:rPr>
      </w:pPr>
      <w:r w:rsidDel="00000000" w:rsidR="00000000" w:rsidRPr="00000000">
        <w:rPr>
          <w:rFonts w:ascii="Poppins" w:cs="Poppins" w:eastAsia="Poppins" w:hAnsi="Poppins"/>
          <w:b w:val="1"/>
          <w:bCs w:val="1"/>
          <w:color w:val="b7c3a1"/>
          <w:sz w:val="36"/>
          <w:szCs w:val="36"/>
          <w:rtl w:val="0"/>
        </w:rPr>
        <w:t xml:space="preserve">1.1 Le projet EMPOWER+ : contexte et justification</w:t>
      </w:r>
    </w:p>
    <w:p w:rsidR="00000000" w:rsidDel="00000000" w:rsidP="00000000" w:rsidRDefault="00000000" w:rsidRPr="00000000" w14:paraId="0000006F">
      <w:pPr>
        <w:spacing w:after="100" w:before="60" w:lineRule="auto"/>
        <w:jc w:val="both"/>
        <w:rPr>
          <w:rFonts w:ascii="Poppins" w:cs="Poppins" w:eastAsia="Poppins" w:hAnsi="Poppins"/>
          <w:color w:val="1a1a1a"/>
        </w:rPr>
      </w:pPr>
      <w:r w:rsidDel="00000000" w:rsidR="00000000" w:rsidRPr="00000000">
        <w:rPr>
          <w:rFonts w:ascii="Poppins" w:cs="Poppins" w:eastAsia="Poppins" w:hAnsi="Poppins"/>
          <w:color w:val="1a1a1a"/>
          <w:sz w:val="22"/>
          <w:szCs w:val="22"/>
          <w:rtl w:val="0"/>
        </w:rPr>
        <w:t xml:space="preserve">EMPOWER+ est un projet de Renforcement des capacités dans le domaine de la jeunesse, financé dans le cadre du programme Erasmus+ de l’Union européenne (ERASMUS-YOUTH-2025-CB-SSA, Project No. 101243075). Le projet réunit un consortium de sept pays couvrant l’Afrique subsaharienne et l’Europe, uni par un engagement commun en faveur du renforcement de la participation civique et de l’agency démocratique des jeunes vivant dans les communautés rurales.</w:t>
      </w:r>
      <w:r w:rsidDel="00000000" w:rsidR="00000000" w:rsidRPr="00000000">
        <w:rPr>
          <w:rFonts w:ascii="Poppins" w:cs="Poppins" w:eastAsia="Poppins" w:hAnsi="Poppins"/>
          <w:color w:val="1a1a1a"/>
          <w:rtl w:val="0"/>
        </w:rPr>
        <w:t xml:space="preserve"> </w:t>
      </w:r>
      <w:r w:rsidDel="00000000" w:rsidR="00000000" w:rsidRPr="00000000">
        <w:rPr>
          <w:rFonts w:ascii="Poppins" w:cs="Poppins" w:eastAsia="Poppins" w:hAnsi="Poppins"/>
          <w:color w:val="1a1a1a"/>
          <w:sz w:val="22"/>
          <w:szCs w:val="22"/>
          <w:rtl w:val="0"/>
        </w:rPr>
        <w:t xml:space="preserve">Le projet est né d’une lacune clairement documentée dans le paysage de la coopération internationale pour le développement de la jeunesse : alors que la participation des jeunes constitue depuis plus de deux décennies une priorité déclarée à la fois de la Stratégie de l’UE en faveur de la jeunesse et des cadres continentaux africains de politiques publiques, la dimension rurale de l’exclusion des jeunes de la gouvernance est restée durablement insuffisamment traitée. Les parlements urbains des jeunes, les conseils nationaux de la jeunesse et les plateformes numériques de participation se sont multipliés, tandis que les obstacles structurels auxquels sont confrontés les jeunes ruraux sont restés largement inchangés. EMPOWER+ est conçu pour répondre à cette lacune de manière directe et systématique.</w:t>
      </w:r>
      <w:r w:rsidDel="00000000" w:rsidR="00000000" w:rsidRPr="00000000">
        <w:rPr>
          <w:rtl w:val="0"/>
        </w:rPr>
      </w:r>
    </w:p>
    <w:p w:rsidR="00000000" w:rsidDel="00000000" w:rsidP="00000000" w:rsidRDefault="00000000" w:rsidRPr="00000000" w14:paraId="00000070">
      <w:pPr>
        <w:spacing w:after="100" w:before="60" w:lineRule="auto"/>
        <w:jc w:val="both"/>
        <w:rPr>
          <w:rFonts w:ascii="Poppins" w:cs="Poppins" w:eastAsia="Poppins" w:hAnsi="Poppins"/>
          <w:b w:val="0"/>
          <w:bCs w:val="0"/>
          <w:color w:val="1a1a1a"/>
          <w:sz w:val="22"/>
          <w:szCs w:val="22"/>
        </w:rPr>
      </w:pPr>
      <w:r w:rsidDel="00000000" w:rsidR="00000000" w:rsidRPr="00000000">
        <w:rPr>
          <w:rFonts w:ascii="Poppins" w:cs="Poppins" w:eastAsia="Poppins" w:hAnsi="Poppins"/>
          <w:b w:val="0"/>
          <w:bCs w:val="0"/>
          <w:color w:val="1a1a1a"/>
          <w:sz w:val="22"/>
          <w:szCs w:val="22"/>
          <w:rtl w:val="0"/>
        </w:rPr>
        <w:t xml:space="preserve">Le mécanisme central du projet est le Parlement rural des jeunes : un organe de gouvernance structuré et participatif, opérant au niveau infranational, qui permet aux jeunes ruraux de débattre des questions affectant leurs communautés, de formuler des propositions concrètes et de s’engager dans un dialogue responsable avec les décideurs locaux, régionaux et nationaux. Les Parlements ruraux des jeunes sont destinés à fonctionner comme une infrastructure de gouvernance durable, et non comme des événements ponctuels de projet ou des gestes symboliques en faveur de l’inclusion.</w:t>
      </w:r>
    </w:p>
    <w:p w:rsidR="00000000" w:rsidDel="00000000" w:rsidP="00000000" w:rsidRDefault="00000000" w:rsidRPr="00000000" w14:paraId="00000071">
      <w:pPr>
        <w:pStyle w:val="Heading2"/>
        <w:keepNext w:val="1"/>
        <w:spacing w:after="80" w:before="280" w:lineRule="auto"/>
        <w:jc w:val="both"/>
        <w:rPr>
          <w:rFonts w:ascii="Poppins" w:cs="Poppins" w:eastAsia="Poppins" w:hAnsi="Poppins"/>
          <w:b w:val="0"/>
          <w:bCs w:val="0"/>
          <w:color w:val="1a1a1a"/>
          <w:sz w:val="22"/>
          <w:szCs w:val="22"/>
        </w:rPr>
      </w:pPr>
      <w:r w:rsidDel="00000000" w:rsidR="00000000" w:rsidRPr="00000000">
        <w:rPr>
          <w:rFonts w:ascii="Poppins" w:cs="Poppins" w:eastAsia="Poppins" w:hAnsi="Poppins"/>
          <w:b w:val="0"/>
          <w:bCs w:val="0"/>
          <w:color w:val="1a1a1a"/>
          <w:sz w:val="22"/>
          <w:szCs w:val="22"/>
          <w:rtl w:val="0"/>
        </w:rPr>
        <w:t xml:space="preserve">Le projet fonctionne selon deux axes interconnectés. En Afrique subsaharienne, au Botswana, à Madagascar, à Maurice et au Nigeria, le projet travaille à établir et à renforcer les RYPs, en répondant aux lacunes structurelles de la participation des jeunes ruraux documentées au moyen d’une analyse des besoins menée en février 2025. En Europe, la Grèce, l’Italie et la Roumanie apportent des connaissances, des méthodologies testées et une expérience institutionnelle afin de soutenir les processus de conception en Afrique subsaharienne, tout en renforçant simultanément les pratiques nationales de participation des jeunes ruraux. Le transfert de connaissances au cœur d’EMPOWER+ est explicitement conçu comme bidirectionnel.</w:t>
      </w:r>
    </w:p>
    <w:p w:rsidR="00000000" w:rsidDel="00000000" w:rsidP="00000000" w:rsidRDefault="00000000" w:rsidRPr="00000000" w14:paraId="00000072">
      <w:pPr>
        <w:pStyle w:val="Heading2"/>
        <w:keepNext w:val="1"/>
        <w:spacing w:after="80" w:before="280" w:lineRule="auto"/>
        <w:rPr>
          <w:rFonts w:ascii="Poppins" w:cs="Poppins" w:eastAsia="Poppins" w:hAnsi="Poppins"/>
          <w:color w:val="b7c3a1"/>
        </w:rPr>
      </w:pPr>
      <w:r w:rsidDel="00000000" w:rsidR="00000000" w:rsidRPr="00000000">
        <w:rPr>
          <w:rFonts w:ascii="Poppins" w:cs="Poppins" w:eastAsia="Poppins" w:hAnsi="Poppins"/>
          <w:color w:val="b7c3a1"/>
          <w:rtl w:val="0"/>
        </w:rPr>
        <w:t xml:space="preserve">1.2 Composition du consortium</w:t>
      </w:r>
    </w:p>
    <w:p w:rsidR="00000000" w:rsidDel="00000000" w:rsidP="00000000" w:rsidRDefault="00000000" w:rsidRPr="00000000" w14:paraId="00000073">
      <w:pPr>
        <w:spacing w:after="100" w:before="60" w:lineRule="auto"/>
        <w:jc w:val="both"/>
        <w:rPr>
          <w:rFonts w:ascii="Poppins" w:cs="Poppins" w:eastAsia="Poppins" w:hAnsi="Poppins"/>
          <w:color w:val="1a1a1a"/>
        </w:rPr>
      </w:pPr>
      <w:r w:rsidDel="00000000" w:rsidR="00000000" w:rsidRPr="00000000">
        <w:rPr>
          <w:rFonts w:ascii="Poppins" w:cs="Poppins" w:eastAsia="Poppins" w:hAnsi="Poppins"/>
          <w:color w:val="1a1a1a"/>
          <w:rtl w:val="0"/>
        </w:rPr>
        <w:t xml:space="preserve">Le consortium a été construit afin de maximiser la complémentarité des expertises et des rôles institutionnels. LAG Napoca Porolissum (Roumanie) assure la coordination et apporte une expérience directe dans la conception et la mise en œuvre d’un modèle de Parlement rural des jeunes dans un territoire montagneux dispersé. Connectus (Grèce) dirige le Work Package 2 et contribue par son expertise en coordination de la recherche, en analyse et en politiques de jeunesse. A Rocca (Italie) apporte une vaste expérience de gestion de projets Erasmus+ et Corps européen de solidarité depuis la Sicile. Du côté de l’Afrique subsaharienne, le Tlokweng District Council et Joseph Mwelwa Consult (Botswana) apportent respectivement une expertise en administration locale et en société civile ; CEMEA Madagascar apporte une méthodologie d’éducation communautaire ; la Fédération des Maisons Familiales Rurales de Maurice et Rodrigues apporte une expérience en formation professionnelle rurale ; et System Strategy and Policy Lab (Nigeria) apporte une expertise en recherche sur les politiques publiques et en gouvernance des jeunes.</w:t>
      </w:r>
    </w:p>
    <w:p w:rsidR="00000000" w:rsidDel="00000000" w:rsidP="00000000" w:rsidRDefault="00000000" w:rsidRPr="00000000" w14:paraId="00000074">
      <w:pPr>
        <w:pStyle w:val="Heading2"/>
        <w:keepNext w:val="1"/>
        <w:spacing w:after="80" w:before="280" w:lineRule="auto"/>
        <w:rPr>
          <w:rFonts w:ascii="Poppins" w:cs="Poppins" w:eastAsia="Poppins" w:hAnsi="Poppins"/>
          <w:color w:val="b7c3a1"/>
        </w:rPr>
      </w:pPr>
      <w:bookmarkStart w:colFirst="0" w:colLast="0" w:name="_heading=h.tx4kph9r4rb8" w:id="2"/>
      <w:bookmarkEnd w:id="2"/>
      <w:r w:rsidDel="00000000" w:rsidR="00000000" w:rsidRPr="00000000">
        <w:rPr>
          <w:rFonts w:ascii="Poppins" w:cs="Poppins" w:eastAsia="Poppins" w:hAnsi="Poppins"/>
          <w:color w:val="b7c3a1"/>
          <w:rtl w:val="0"/>
        </w:rPr>
        <w:t xml:space="preserve">1.3 Objectif et portée du présent rapport</w:t>
      </w:r>
    </w:p>
    <w:p w:rsidR="00000000" w:rsidDel="00000000" w:rsidP="00000000" w:rsidRDefault="00000000" w:rsidRPr="00000000" w14:paraId="00000075">
      <w:pPr>
        <w:spacing w:after="100" w:before="60" w:lineRule="auto"/>
        <w:jc w:val="both"/>
        <w:rPr>
          <w:rFonts w:ascii="Poppins" w:cs="Poppins" w:eastAsia="Poppins" w:hAnsi="Poppins"/>
          <w:color w:val="1a1a1a"/>
        </w:rPr>
      </w:pPr>
      <w:r w:rsidDel="00000000" w:rsidR="00000000" w:rsidRPr="00000000">
        <w:rPr>
          <w:rFonts w:ascii="Poppins" w:cs="Poppins" w:eastAsia="Poppins" w:hAnsi="Poppins"/>
          <w:color w:val="1a1a1a"/>
          <w:rtl w:val="0"/>
        </w:rPr>
        <w:t xml:space="preserve">Le présent Rapport de synthèse constitue le Livrable D2.1 du projet EMPOWER+, consolidant les conclusions de quatorze documents de recherche au niveau national produits dans le cadre des Tâches 2.1 et 2.2, couvrant les sept pays partenaires d’Afrique subsaharienne et d’Europe.</w:t>
      </w:r>
    </w:p>
    <w:p w:rsidR="00000000" w:rsidDel="00000000" w:rsidP="00000000" w:rsidRDefault="00000000" w:rsidRPr="00000000" w14:paraId="00000076">
      <w:pPr>
        <w:spacing w:after="100" w:before="60" w:lineRule="auto"/>
        <w:jc w:val="both"/>
        <w:rPr>
          <w:rFonts w:ascii="Poppins" w:cs="Poppins" w:eastAsia="Poppins" w:hAnsi="Poppins"/>
          <w:color w:val="1a1a1a"/>
        </w:rPr>
      </w:pPr>
      <w:r w:rsidDel="00000000" w:rsidR="00000000" w:rsidRPr="00000000">
        <w:rPr>
          <w:rFonts w:ascii="Poppins" w:cs="Poppins" w:eastAsia="Poppins" w:hAnsi="Poppins"/>
          <w:color w:val="1a1a1a"/>
          <w:rtl w:val="0"/>
        </w:rPr>
        <w:t xml:space="preserve">La Tâche 2.1 demandait à chaque organisation partenaire nationale de rédiger un rapport national complet présentant les ressources disponibles, les cadres juridiques et politiques, ainsi que les bonnes pratiques documentées en matière de participation des jeunes ruraux, et d’identifier les lacunes et les domaines nécessitant un développement ciblé. La Tâche 2.2 demandait à chaque partenaire de produire un rapport analytique cartographiant les outils de participation des jeunes aux politiques publiques, analysant les cadres juridiques avec une attention particulière à leur pertinence rurale et aux lacunes de mise en œuvre, et présentant les conclusions des groupes de discussion ou des consultations avec les parties prenantes concernant l’efficacité des outils existants.</w:t>
      </w:r>
    </w:p>
    <w:p w:rsidR="00000000" w:rsidDel="00000000" w:rsidP="00000000" w:rsidRDefault="00000000" w:rsidRPr="00000000" w14:paraId="00000077">
      <w:pPr>
        <w:pStyle w:val="Heading2"/>
        <w:keepNext w:val="1"/>
        <w:spacing w:after="80" w:before="280" w:lineRule="auto"/>
        <w:rPr>
          <w:rFonts w:ascii="Poppins" w:cs="Poppins" w:eastAsia="Poppins" w:hAnsi="Poppins"/>
          <w:color w:val="b7c3a1"/>
        </w:rPr>
      </w:pPr>
      <w:bookmarkStart w:colFirst="0" w:colLast="0" w:name="_heading=h.6f3mqwk1by8t" w:id="3"/>
      <w:bookmarkEnd w:id="3"/>
      <w:r w:rsidDel="00000000" w:rsidR="00000000" w:rsidRPr="00000000">
        <w:rPr>
          <w:rFonts w:ascii="Poppins" w:cs="Poppins" w:eastAsia="Poppins" w:hAnsi="Poppins"/>
          <w:color w:val="b7c3a1"/>
          <w:rtl w:val="0"/>
        </w:rPr>
        <w:t xml:space="preserve">1.4 Méthodologie de la synthèse</w:t>
      </w:r>
    </w:p>
    <w:p w:rsidR="00000000" w:rsidDel="00000000" w:rsidP="00000000" w:rsidRDefault="00000000" w:rsidRPr="00000000" w14:paraId="00000078">
      <w:pPr>
        <w:pStyle w:val="Heading2"/>
        <w:keepNext w:val="1"/>
        <w:spacing w:after="80" w:before="280" w:lineRule="auto"/>
        <w:jc w:val="both"/>
        <w:rPr>
          <w:rFonts w:ascii="Poppins" w:cs="Poppins" w:eastAsia="Poppins" w:hAnsi="Poppins"/>
          <w:b w:val="0"/>
          <w:bCs w:val="0"/>
          <w:color w:val="1a1a1a"/>
          <w:sz w:val="22"/>
          <w:szCs w:val="22"/>
        </w:rPr>
      </w:pPr>
      <w:bookmarkStart w:colFirst="0" w:colLast="0" w:name="_heading=h.ze6xj551s925" w:id="4"/>
      <w:bookmarkEnd w:id="4"/>
      <w:r w:rsidDel="00000000" w:rsidR="00000000" w:rsidRPr="00000000">
        <w:rPr>
          <w:rFonts w:ascii="Poppins" w:cs="Poppins" w:eastAsia="Poppins" w:hAnsi="Poppins"/>
          <w:b w:val="0"/>
          <w:bCs w:val="0"/>
          <w:color w:val="1a1a1a"/>
          <w:sz w:val="22"/>
          <w:szCs w:val="22"/>
          <w:rtl w:val="0"/>
        </w:rPr>
        <w:t xml:space="preserve">La synthèse a été élaborée au moyen d’un examen comparatif structuré de tous les rapports nationaux disponibles, évalués selon quatre dimensions analytiques : la disponibilité et l’accessibilité des ressources de participation ; la solidité et la pertinence rurale des cadres juridiques et politiques ; la qualité et la transférabilité des bonnes pratiques documentées ; ainsi que la nature et la gravité des lacunes identifiées. L’analyse comparative a été menée à la fois au sein des groupes de pays et à l’échelle de l’ensemble du consortium de sept pays.</w:t>
      </w:r>
    </w:p>
    <w:p w:rsidR="00000000" w:rsidDel="00000000" w:rsidP="00000000" w:rsidRDefault="00000000" w:rsidRPr="00000000" w14:paraId="00000079">
      <w:pPr>
        <w:pStyle w:val="Heading2"/>
        <w:keepNext w:val="1"/>
        <w:spacing w:after="80" w:before="280" w:lineRule="auto"/>
        <w:jc w:val="both"/>
        <w:rPr>
          <w:rFonts w:ascii="Poppins" w:cs="Poppins" w:eastAsia="Poppins" w:hAnsi="Poppins"/>
          <w:b w:val="0"/>
          <w:bCs w:val="0"/>
          <w:color w:val="1a1a1a"/>
          <w:sz w:val="22"/>
          <w:szCs w:val="22"/>
        </w:rPr>
      </w:pPr>
      <w:r w:rsidDel="00000000" w:rsidR="00000000" w:rsidRPr="00000000">
        <w:rPr>
          <w:rFonts w:ascii="Poppins" w:cs="Poppins" w:eastAsia="Poppins" w:hAnsi="Poppins"/>
          <w:b w:val="0"/>
          <w:bCs w:val="0"/>
          <w:color w:val="1a1a1a"/>
          <w:sz w:val="22"/>
          <w:szCs w:val="22"/>
          <w:rtl w:val="0"/>
        </w:rPr>
        <w:t xml:space="preserve">Une distinction méthodologique constante traverse toute cette synthèse : la différence entre ce qui existe formellement dans la législation et les politiques publiques, le paysage de jure, et ce qui fonctionne en pratique, comme l’attestent les témoignages des parties prenantes et les conclusions des groupes de discussion, la réalité de facto. Cette distinction constitue l’intuition diagnostique centrale qui donne aux recommandations de ce rapport leur fondement analytique et leur urgence pratique.</w:t>
      </w:r>
    </w:p>
    <w:p w:rsidR="00000000" w:rsidDel="00000000" w:rsidP="00000000" w:rsidRDefault="00000000" w:rsidRPr="00000000" w14:paraId="0000007A">
      <w:pPr>
        <w:pStyle w:val="Heading2"/>
        <w:keepNext w:val="1"/>
        <w:spacing w:after="80" w:before="280" w:lineRule="auto"/>
        <w:rPr>
          <w:rFonts w:ascii="Poppins" w:cs="Poppins" w:eastAsia="Poppins" w:hAnsi="Poppins"/>
          <w:color w:val="b7c3a1"/>
        </w:rPr>
      </w:pPr>
      <w:r w:rsidDel="00000000" w:rsidR="00000000" w:rsidRPr="00000000">
        <w:rPr>
          <w:rFonts w:ascii="Poppins" w:cs="Poppins" w:eastAsia="Poppins" w:hAnsi="Poppins"/>
          <w:color w:val="b7c3a1"/>
          <w:rtl w:val="0"/>
        </w:rPr>
        <w:t xml:space="preserve">1.5 Aperçu des pays partenaires</w:t>
      </w:r>
    </w:p>
    <w:p w:rsidR="00000000" w:rsidDel="00000000" w:rsidP="00000000" w:rsidRDefault="00000000" w:rsidRPr="00000000" w14:paraId="0000007B">
      <w:pPr>
        <w:jc w:val="both"/>
        <w:rPr>
          <w:rFonts w:ascii="Poppins" w:cs="Poppins" w:eastAsia="Poppins" w:hAnsi="Poppins"/>
        </w:rPr>
      </w:pPr>
      <w:r w:rsidDel="00000000" w:rsidR="00000000" w:rsidRPr="00000000">
        <w:rPr>
          <w:rFonts w:ascii="Poppins" w:cs="Poppins" w:eastAsia="Poppins" w:hAnsi="Poppins"/>
          <w:color w:val="1a1a1a"/>
          <w:rtl w:val="0"/>
        </w:rPr>
        <w:t xml:space="preserve">Le consortium EMPOWER+ couvre sept pays répartis sur deux continents : le Botswana, Madagascar, Maurice et le Nigeria en Afrique subsaharienne, et la Grèce, l’Italie et la Roumanie en Europe. Les Tâches 2.1 et 2.2 ont été achevées dans tous les pays partenaires, fournissant une base de données complète et géographiquement diversifiée pour l’analyse comparative présentée dans ce rapport.</w:t>
      </w:r>
      <w:r w:rsidDel="00000000" w:rsidR="00000000" w:rsidRPr="00000000">
        <w:br w:type="page"/>
      </w:r>
      <w:r w:rsidDel="00000000" w:rsidR="00000000" w:rsidRPr="00000000">
        <w:rPr>
          <w:rtl w:val="0"/>
        </w:rPr>
      </w:r>
    </w:p>
    <w:p w:rsidR="00000000" w:rsidDel="00000000" w:rsidP="00000000" w:rsidRDefault="00000000" w:rsidRPr="00000000" w14:paraId="0000007C">
      <w:pPr>
        <w:pStyle w:val="Heading1"/>
        <w:keepNext w:val="1"/>
        <w:spacing w:after="120" w:before="360" w:lineRule="auto"/>
        <w:rPr>
          <w:rFonts w:ascii="Poppins" w:cs="Poppins" w:eastAsia="Poppins" w:hAnsi="Poppins"/>
          <w:color w:val="2f6b3a"/>
        </w:rPr>
      </w:pPr>
      <w:bookmarkStart w:colFirst="0" w:colLast="0" w:name="_heading=h.mgd872geysub" w:id="5"/>
      <w:bookmarkEnd w:id="5"/>
      <w:r w:rsidDel="00000000" w:rsidR="00000000" w:rsidRPr="00000000">
        <w:rPr>
          <w:rFonts w:ascii="Poppins" w:cs="Poppins" w:eastAsia="Poppins" w:hAnsi="Poppins"/>
          <w:color w:val="2f6b3a"/>
          <w:rtl w:val="0"/>
        </w:rPr>
        <w:t xml:space="preserve">2. Conclusions par pays de la Tâche 2.1 : ressources, cadres et lacunes</w:t>
      </w:r>
    </w:p>
    <w:p w:rsidR="00000000" w:rsidDel="00000000" w:rsidP="00000000" w:rsidRDefault="00000000" w:rsidRPr="00000000" w14:paraId="0000007D">
      <w:pPr>
        <w:pStyle w:val="Heading2"/>
        <w:keepNext w:val="1"/>
        <w:spacing w:after="80" w:before="280" w:lineRule="auto"/>
        <w:rPr>
          <w:rFonts w:ascii="Poppins" w:cs="Poppins" w:eastAsia="Poppins" w:hAnsi="Poppins"/>
          <w:b w:val="0"/>
          <w:bCs w:val="0"/>
          <w:color w:val="1a1a1a"/>
          <w:sz w:val="22"/>
          <w:szCs w:val="22"/>
        </w:rPr>
      </w:pPr>
      <w:bookmarkStart w:colFirst="0" w:colLast="0" w:name="_heading=h.mnhomwdnos42" w:id="6"/>
      <w:bookmarkEnd w:id="6"/>
      <w:r w:rsidDel="00000000" w:rsidR="00000000" w:rsidRPr="00000000">
        <w:rPr>
          <w:rFonts w:ascii="Poppins" w:cs="Poppins" w:eastAsia="Poppins" w:hAnsi="Poppins"/>
          <w:b w:val="0"/>
          <w:bCs w:val="0"/>
          <w:color w:val="1a1a1a"/>
          <w:sz w:val="22"/>
          <w:szCs w:val="22"/>
          <w:rtl w:val="0"/>
        </w:rPr>
        <w:t xml:space="preserve">Cette section présente les principales conclusions de chaque rapport national de la Tâche 2.1, structurées autour de quatre dimensions analytiques appliquées de manière cohérente dans tous les rapports : ressources disponibles, cadres juridiques et politiques, bonnes pratiques et lacunes identifiées. L’analyse dépasse la description pour interroger les conditions structurelles qui façonnent la participation des jeunes ruraux dans chaque contexte, en faisant ressortir les tendances et les tensions que l’analyse comparative de la Section 4 développera davantage. Les pays sont présentés par groupe régional.</w:t>
      </w:r>
    </w:p>
    <w:p w:rsidR="00000000" w:rsidDel="00000000" w:rsidP="00000000" w:rsidRDefault="00000000" w:rsidRPr="00000000" w14:paraId="0000007E">
      <w:pPr>
        <w:pStyle w:val="Heading2"/>
        <w:keepNext w:val="1"/>
        <w:spacing w:after="80" w:before="280" w:lineRule="auto"/>
        <w:rPr>
          <w:rFonts w:ascii="Poppins" w:cs="Poppins" w:eastAsia="Poppins" w:hAnsi="Poppins"/>
          <w:color w:val="b7c3a1"/>
        </w:rPr>
      </w:pPr>
      <w:r w:rsidDel="00000000" w:rsidR="00000000" w:rsidRPr="00000000">
        <w:rPr>
          <w:rFonts w:ascii="Poppins" w:cs="Poppins" w:eastAsia="Poppins" w:hAnsi="Poppins"/>
          <w:color w:val="b7c3a1"/>
          <w:rtl w:val="0"/>
        </w:rPr>
        <w:t xml:space="preserve">2.1 Pays partenaires d’Afrique subsaharienne</w:t>
      </w:r>
    </w:p>
    <w:p w:rsidR="00000000" w:rsidDel="00000000" w:rsidP="00000000" w:rsidRDefault="00000000" w:rsidRPr="00000000" w14:paraId="0000007F">
      <w:pPr>
        <w:pStyle w:val="Heading3"/>
        <w:keepNext w:val="1"/>
        <w:spacing w:after="60" w:before="200" w:lineRule="auto"/>
        <w:rPr>
          <w:rFonts w:ascii="Poppins" w:cs="Poppins" w:eastAsia="Poppins" w:hAnsi="Poppins"/>
          <w:color w:val="2f6b3a"/>
        </w:rPr>
      </w:pPr>
      <w:bookmarkStart w:colFirst="0" w:colLast="0" w:name="_heading=h.tz2n6eikad07" w:id="7"/>
      <w:bookmarkEnd w:id="7"/>
      <w:r w:rsidDel="00000000" w:rsidR="00000000" w:rsidRPr="00000000">
        <w:rPr>
          <w:rFonts w:ascii="Poppins" w:cs="Poppins" w:eastAsia="Poppins" w:hAnsi="Poppins"/>
          <w:color w:val="2f6b3a"/>
          <w:rtl w:val="0"/>
        </w:rPr>
        <w:t xml:space="preserve">2.1.1 Botswana</w:t>
      </w:r>
    </w:p>
    <w:p w:rsidR="00000000" w:rsidDel="00000000" w:rsidP="00000000" w:rsidRDefault="00000000" w:rsidRPr="00000000" w14:paraId="00000080">
      <w:pPr>
        <w:jc w:val="both"/>
        <w:rPr>
          <w:rFonts w:ascii="Poppins" w:cs="Poppins" w:eastAsia="Poppins" w:hAnsi="Poppins"/>
          <w:b w:val="1"/>
          <w:bCs w:val="1"/>
          <w:color w:val="1a1a1a"/>
          <w:sz w:val="24"/>
          <w:szCs w:val="24"/>
        </w:rPr>
      </w:pPr>
      <w:r w:rsidDel="00000000" w:rsidR="00000000" w:rsidRPr="00000000">
        <w:rPr>
          <w:rFonts w:ascii="Poppins" w:cs="Poppins" w:eastAsia="Poppins" w:hAnsi="Poppins"/>
          <w:b w:val="1"/>
          <w:bCs w:val="1"/>
          <w:color w:val="1a1a1a"/>
          <w:sz w:val="24"/>
          <w:szCs w:val="24"/>
          <w:rtl w:val="0"/>
        </w:rPr>
        <w:t xml:space="preserve">Ressources et écosystème institutionnel</w:t>
      </w:r>
    </w:p>
    <w:p w:rsidR="00000000" w:rsidDel="00000000" w:rsidP="00000000" w:rsidRDefault="00000000" w:rsidRPr="00000000" w14:paraId="00000081">
      <w:pPr>
        <w:jc w:val="both"/>
        <w:rPr>
          <w:rFonts w:ascii="Poppins" w:cs="Poppins" w:eastAsia="Poppins" w:hAnsi="Poppins"/>
          <w:color w:val="1a1a1a"/>
        </w:rPr>
      </w:pPr>
      <w:r w:rsidDel="00000000" w:rsidR="00000000" w:rsidRPr="00000000">
        <w:rPr>
          <w:rFonts w:ascii="Poppins" w:cs="Poppins" w:eastAsia="Poppins" w:hAnsi="Poppins"/>
          <w:color w:val="1a1a1a"/>
          <w:rtl w:val="0"/>
        </w:rPr>
        <w:t xml:space="preserve">L’écosystème de participation des jeunes ruraux au Botswana est structuré en plusieurs niveaux institutionnels qui, ensemble, créent un paysage formellement riche mais pratiquement contraint. Au niveau national, la principale ressource formelle est la Politique nationale révisée de la jeunesse de 2010, qui établit un engagement-cadre en faveur de l’engagement civique des jeunes et définit les responsabilités du Ministère de la Jeunesse, des Sports et de la Culture dans le soutien aux initiatives orientées vers la jeunesse. Celle-ci est complétée au niveau continental par la Charte africaine de la jeunesse, dont le Botswana est signataire et qui fournit un fondement normatif aux droits de participation des jeunes. Le Fonds de développement de la jeunesse apporte un soutien financier aux initiatives entrepreneuriales des jeunes et a été utilisé par des groupes de jeunes ruraux dans certains districts, bien que sa portée soit limitée par des obstacles informationnels et administratifs dans les zones les plus reculées. Les structures des District Youth Officers, intégrées dans l’administration locale, constituent la principale interface institutionnelle entre l’État et les groupes de jeunes organisés au niveau du district, assurant des fonctions de coordination, d’orientation et de prestation limitée de programmes.</w:t>
      </w:r>
    </w:p>
    <w:p w:rsidR="00000000" w:rsidDel="00000000" w:rsidP="00000000" w:rsidRDefault="00000000" w:rsidRPr="00000000" w14:paraId="00000082">
      <w:pPr>
        <w:jc w:val="both"/>
        <w:rPr>
          <w:rFonts w:ascii="Poppins" w:cs="Poppins" w:eastAsia="Poppins" w:hAnsi="Poppins"/>
          <w:color w:val="1a1a1a"/>
        </w:rPr>
      </w:pPr>
      <w:r w:rsidDel="00000000" w:rsidR="00000000" w:rsidRPr="00000000">
        <w:rPr>
          <w:rFonts w:ascii="Poppins" w:cs="Poppins" w:eastAsia="Poppins" w:hAnsi="Poppins"/>
          <w:color w:val="1a1a1a"/>
          <w:rtl w:val="0"/>
        </w:rPr>
        <w:t xml:space="preserve">La dimension de la société civile dans l’écosystème de participation du Botswana est active et diverse par rapport à d’autres pays partenaires d’Afrique subsaharienne. Des organisations nationales, dont Youth Unlimited, ont développé des approches participatives qui comprennent des programmes d’éducation civique et des activités structurées de développement du leadership. Le Parlement national des jeunes fournit un modèle délibératif formel, offrant un cadre de simulation testé pour une délibération structurée des jeunes au niveau national, bien que son accessibilité pour les jeunes ruraux soit limitée par la nature centrée sur la capitale de ses activités. Les canaux de communication numériques, y compris les plateformes de médias sociaux et les applications mobiles de messagerie, sont devenus des outils importants pour le partage d’informations et la mobilisation informelle des jeunes dans les zones disposant d’une connectivité adéquate, même si la fracture numérique demeure prononcée dans le Botswana rural.</w:t>
      </w:r>
    </w:p>
    <w:p w:rsidR="00000000" w:rsidDel="00000000" w:rsidP="00000000" w:rsidRDefault="00000000" w:rsidRPr="00000000" w14:paraId="00000083">
      <w:pPr>
        <w:jc w:val="both"/>
        <w:rPr>
          <w:rFonts w:ascii="Poppins" w:cs="Poppins" w:eastAsia="Poppins" w:hAnsi="Poppins"/>
          <w:color w:val="1a1a1a"/>
        </w:rPr>
      </w:pPr>
      <w:r w:rsidDel="00000000" w:rsidR="00000000" w:rsidRPr="00000000">
        <w:rPr>
          <w:rtl w:val="0"/>
        </w:rPr>
      </w:r>
    </w:p>
    <w:p w:rsidR="00000000" w:rsidDel="00000000" w:rsidP="00000000" w:rsidRDefault="00000000" w:rsidRPr="00000000" w14:paraId="00000084">
      <w:pPr>
        <w:jc w:val="both"/>
        <w:rPr>
          <w:rFonts w:ascii="Poppins" w:cs="Poppins" w:eastAsia="Poppins" w:hAnsi="Poppins"/>
          <w:b w:val="1"/>
          <w:bCs w:val="1"/>
          <w:i w:val="1"/>
          <w:iCs w:val="1"/>
          <w:color w:val="1a1a1a"/>
          <w:sz w:val="24"/>
          <w:szCs w:val="24"/>
        </w:rPr>
      </w:pPr>
      <w:r w:rsidDel="00000000" w:rsidR="00000000" w:rsidRPr="00000000">
        <w:rPr>
          <w:rFonts w:ascii="Poppins" w:cs="Poppins" w:eastAsia="Poppins" w:hAnsi="Poppins"/>
          <w:b w:val="1"/>
          <w:bCs w:val="1"/>
          <w:i w:val="1"/>
          <w:iCs w:val="1"/>
          <w:color w:val="1a1a1a"/>
          <w:sz w:val="24"/>
          <w:szCs w:val="24"/>
          <w:rtl w:val="0"/>
        </w:rPr>
        <w:t xml:space="preserve">Le système Kgotla : légitimité culturelle et limites pratiques</w:t>
      </w:r>
    </w:p>
    <w:p w:rsidR="00000000" w:rsidDel="00000000" w:rsidP="00000000" w:rsidRDefault="00000000" w:rsidRPr="00000000" w14:paraId="00000085">
      <w:pPr>
        <w:jc w:val="both"/>
        <w:rPr>
          <w:rFonts w:ascii="Poppins" w:cs="Poppins" w:eastAsia="Poppins" w:hAnsi="Poppins"/>
          <w:color w:val="1a1a1a"/>
        </w:rPr>
      </w:pPr>
      <w:r w:rsidDel="00000000" w:rsidR="00000000" w:rsidRPr="00000000">
        <w:rPr>
          <w:rFonts w:ascii="Poppins" w:cs="Poppins" w:eastAsia="Poppins" w:hAnsi="Poppins"/>
          <w:color w:val="1a1a1a"/>
          <w:rtl w:val="0"/>
        </w:rPr>
        <w:t xml:space="preserve">La ressource la plus significative sur le plan analytique dans l’écosystème de participation des jeunes ruraux du Botswana n’est ni une structure formelle de l’État ni une organisation de la société civile, mais le Kgotla, l’assemblée communautaire traditionnelle convoquée par le Kgosi, le chef communautaire héréditaire. Le Kgotla est l’institution centrale de la culture démocratique du Botswana : c’est l’espace où les affaires communautaires sont débattues, les conflits résolus et les décisions collectives prises. Sa légitimité découle de racines historiques et culturelles profondes, de l’autorité du Kgosi en tant que convocateur, et du principe inclusif de participation ouverte inscrit dans sa tradition. Les Comités de développement villageois et les interfaces avec les conseillers élus au niveau du ward et du district complètent l’architecture formelle de participation au niveau infranational.</w:t>
      </w:r>
    </w:p>
    <w:p w:rsidR="00000000" w:rsidDel="00000000" w:rsidP="00000000" w:rsidRDefault="00000000" w:rsidRPr="00000000" w14:paraId="00000086">
      <w:pPr>
        <w:jc w:val="both"/>
        <w:rPr>
          <w:rFonts w:ascii="Poppins" w:cs="Poppins" w:eastAsia="Poppins" w:hAnsi="Poppins"/>
          <w:color w:val="1a1a1a"/>
        </w:rPr>
      </w:pPr>
      <w:r w:rsidDel="00000000" w:rsidR="00000000" w:rsidRPr="00000000">
        <w:rPr>
          <w:rFonts w:ascii="Poppins" w:cs="Poppins" w:eastAsia="Poppins" w:hAnsi="Poppins"/>
          <w:color w:val="1a1a1a"/>
          <w:rtl w:val="0"/>
        </w:rPr>
        <w:t xml:space="preserve">Pour les jeunes ruraux, le Kgotla est l’espace de participation civique le plus accessible : il est local, culturellement familier et doté d’une réelle autorité. Toutefois, les données issues des groupes de discussion menés à Mogobane et Tlokweng révèlent un écart significatif et systémique entre l’ouverture formelle du Kgotla et son efficacité pratique en tant qu’espace d’expression significative des jeunes. Les normes culturelles créent une forte attente selon laquelle les jeunes doivent faire preuve de déférence envers les anciens, et selon laquelle parler avec autorité dans les assemblées communautaires est la prérogative des hommes plus âgés. Les jeunes femmes font face à des obstacles supplémentaires enracinés à la fois dans les normes d’âge et de genre. La programmation des réunions, généralement pendant les jours ouvrables, entre en conflit avec les activités agricoles et de subsistance qui occupent les jeunes ruraux. La combinaison de la distance culturelle vis-à-vis de l’autorité formelle et des conflits pratiques de calendrier produit un schéma constant : présence formelle, voix limitée, responsabilité absente.</w:t>
      </w:r>
    </w:p>
    <w:p w:rsidR="00000000" w:rsidDel="00000000" w:rsidP="00000000" w:rsidRDefault="00000000" w:rsidRPr="00000000" w14:paraId="00000087">
      <w:pPr>
        <w:jc w:val="both"/>
        <w:rPr>
          <w:rFonts w:ascii="Poppins" w:cs="Poppins" w:eastAsia="Poppins" w:hAnsi="Poppins"/>
          <w:color w:val="1a1a1a"/>
        </w:rPr>
      </w:pPr>
      <w:r w:rsidDel="00000000" w:rsidR="00000000" w:rsidRPr="00000000">
        <w:rPr>
          <w:rtl w:val="0"/>
        </w:rPr>
      </w:r>
    </w:p>
    <w:p w:rsidR="00000000" w:rsidDel="00000000" w:rsidP="00000000" w:rsidRDefault="00000000" w:rsidRPr="00000000" w14:paraId="00000088">
      <w:pPr>
        <w:jc w:val="both"/>
        <w:rPr>
          <w:rFonts w:ascii="Poppins" w:cs="Poppins" w:eastAsia="Poppins" w:hAnsi="Poppins"/>
          <w:b w:val="1"/>
          <w:bCs w:val="1"/>
          <w:i w:val="1"/>
          <w:iCs w:val="1"/>
          <w:color w:val="1a1a1a"/>
          <w:sz w:val="24"/>
          <w:szCs w:val="24"/>
        </w:rPr>
      </w:pPr>
      <w:r w:rsidDel="00000000" w:rsidR="00000000" w:rsidRPr="00000000">
        <w:rPr>
          <w:rFonts w:ascii="Poppins" w:cs="Poppins" w:eastAsia="Poppins" w:hAnsi="Poppins"/>
          <w:b w:val="1"/>
          <w:bCs w:val="1"/>
          <w:i w:val="1"/>
          <w:iCs w:val="1"/>
          <w:color w:val="1a1a1a"/>
          <w:sz w:val="24"/>
          <w:szCs w:val="24"/>
          <w:rtl w:val="0"/>
        </w:rPr>
        <w:t xml:space="preserve">Cadre juridique et politique et principales lacunes</w:t>
      </w:r>
    </w:p>
    <w:p w:rsidR="00000000" w:rsidDel="00000000" w:rsidP="00000000" w:rsidRDefault="00000000" w:rsidRPr="00000000" w14:paraId="00000089">
      <w:pPr>
        <w:jc w:val="both"/>
        <w:rPr>
          <w:rFonts w:ascii="Poppins" w:cs="Poppins" w:eastAsia="Poppins" w:hAnsi="Poppins"/>
          <w:color w:val="1a1a1a"/>
        </w:rPr>
      </w:pPr>
      <w:r w:rsidDel="00000000" w:rsidR="00000000" w:rsidRPr="00000000">
        <w:rPr>
          <w:rFonts w:ascii="Poppins" w:cs="Poppins" w:eastAsia="Poppins" w:hAnsi="Poppins"/>
          <w:color w:val="1a1a1a"/>
          <w:rtl w:val="0"/>
        </w:rPr>
        <w:t xml:space="preserve">Le cadre juridique et politique du Botswana en matière de participation des jeunes est permissif mais non prescriptif. La Politique nationale révisée de la jeunesse ouvre des espaces à l’engagement des jeunes sans établir les obligations institutionnelles, les mécanismes de financement ou les structures de responsabilité qui garantiraient que ces espaces soient occupés de manière significative par les jeunes ruraux. La Loi sur le Conseil national de la jeunesse fournit une base statutaire au Conseil national de la jeunesse, mais ne mandate pas d’action de sensibilisation rurale ni de programmation désagrégée pour les jeunes ruraux. Dans les deux groupes de discussion, la lacune la plus régulièrement identifiée est l’absence d’un mécanisme institutionnel prévisible de retour d’information : les jeunes ruraux expriment leurs points de vue et ne reçoivent aucune reconnaissance systématique de ce qu’il est advenu de ces points de vue. Cette absence de responsabilité, l’échec à refermer la boucle entre la contribution des jeunes et la réponse institutionnelle, est le principal moteur de la désillusion et du désengagement documentés dans les données des groupes de discussion. Une lacune secondaire est l’absence de structures dédiées de gouvernance des jeunes ruraux au niveau du district ou du ward, dotées d’un financement public, ce qui signifie que la participation dépend entièrement de l’initiative de la société civile et de la motivation individuelle plutôt que d’une infrastructure institutionnelle.</w:t>
      </w:r>
    </w:p>
    <w:p w:rsidR="00000000" w:rsidDel="00000000" w:rsidP="00000000" w:rsidRDefault="00000000" w:rsidRPr="00000000" w14:paraId="0000008A">
      <w:pPr>
        <w:jc w:val="both"/>
        <w:rPr>
          <w:rFonts w:ascii="Poppins" w:cs="Poppins" w:eastAsia="Poppins" w:hAnsi="Poppins"/>
          <w:color w:val="1a1a1a"/>
        </w:rPr>
      </w:pPr>
      <w:r w:rsidDel="00000000" w:rsidR="00000000" w:rsidRPr="00000000">
        <w:rPr>
          <w:rtl w:val="0"/>
        </w:rPr>
      </w:r>
    </w:p>
    <w:p w:rsidR="00000000" w:rsidDel="00000000" w:rsidP="00000000" w:rsidRDefault="00000000" w:rsidRPr="00000000" w14:paraId="0000008B">
      <w:pPr>
        <w:jc w:val="both"/>
        <w:rPr>
          <w:rFonts w:ascii="Poppins" w:cs="Poppins" w:eastAsia="Poppins" w:hAnsi="Poppins"/>
          <w:b w:val="1"/>
          <w:bCs w:val="1"/>
          <w:i w:val="1"/>
          <w:iCs w:val="1"/>
          <w:color w:val="1a1a1a"/>
          <w:sz w:val="24"/>
          <w:szCs w:val="24"/>
        </w:rPr>
      </w:pPr>
      <w:r w:rsidDel="00000000" w:rsidR="00000000" w:rsidRPr="00000000">
        <w:rPr>
          <w:rFonts w:ascii="Poppins" w:cs="Poppins" w:eastAsia="Poppins" w:hAnsi="Poppins"/>
          <w:b w:val="1"/>
          <w:bCs w:val="1"/>
          <w:i w:val="1"/>
          <w:iCs w:val="1"/>
          <w:color w:val="1a1a1a"/>
          <w:sz w:val="24"/>
          <w:szCs w:val="24"/>
          <w:rtl w:val="0"/>
        </w:rPr>
        <w:t xml:space="preserve">Diagnostic clé</w:t>
      </w:r>
    </w:p>
    <w:p w:rsidR="00000000" w:rsidDel="00000000" w:rsidP="00000000" w:rsidRDefault="00000000" w:rsidRPr="00000000" w14:paraId="0000008C">
      <w:pPr>
        <w:rPr>
          <w:rFonts w:ascii="Poppins" w:cs="Poppins" w:eastAsia="Poppins" w:hAnsi="Poppins"/>
        </w:rPr>
      </w:pPr>
      <w:r w:rsidDel="00000000" w:rsidR="00000000" w:rsidRPr="00000000">
        <w:rPr>
          <w:rFonts w:ascii="Poppins" w:cs="Poppins" w:eastAsia="Poppins" w:hAnsi="Poppins"/>
          <w:color w:val="1a1a1a"/>
          <w:rtl w:val="0"/>
        </w:rPr>
        <w:t xml:space="preserve">La contrainte déterminante n’est pas l’absence d’espaces de participation, mais l’absence de réponse institutionnelle. Refermer la boucle de retour d’information entre les contributions des jeunes et les résultats visibles constitue le changement structurel le plus important requis dans le contexte du Botswana.</w:t>
      </w:r>
      <w:r w:rsidDel="00000000" w:rsidR="00000000" w:rsidRPr="00000000">
        <w:rPr>
          <w:rtl w:val="0"/>
        </w:rPr>
      </w:r>
    </w:p>
    <w:p w:rsidR="00000000" w:rsidDel="00000000" w:rsidP="00000000" w:rsidRDefault="00000000" w:rsidRPr="00000000" w14:paraId="0000008D">
      <w:pPr>
        <w:pStyle w:val="Heading3"/>
        <w:keepNext w:val="1"/>
        <w:spacing w:after="60" w:before="200" w:lineRule="auto"/>
        <w:rPr>
          <w:rFonts w:ascii="Poppins" w:cs="Poppins" w:eastAsia="Poppins" w:hAnsi="Poppins"/>
          <w:color w:val="2f6b3a"/>
        </w:rPr>
      </w:pPr>
      <w:bookmarkStart w:colFirst="0" w:colLast="0" w:name="_heading=h.1vr54yxatbp0" w:id="8"/>
      <w:bookmarkEnd w:id="8"/>
      <w:r w:rsidDel="00000000" w:rsidR="00000000" w:rsidRPr="00000000">
        <w:rPr>
          <w:rFonts w:ascii="Poppins" w:cs="Poppins" w:eastAsia="Poppins" w:hAnsi="Poppins"/>
          <w:color w:val="2f6b3a"/>
          <w:rtl w:val="0"/>
        </w:rPr>
        <w:t xml:space="preserve">2.1.2 Madagascar</w:t>
      </w:r>
    </w:p>
    <w:p w:rsidR="00000000" w:rsidDel="00000000" w:rsidP="00000000" w:rsidRDefault="00000000" w:rsidRPr="00000000" w14:paraId="0000008E">
      <w:pPr>
        <w:spacing w:after="100" w:before="60" w:lineRule="auto"/>
        <w:jc w:val="both"/>
        <w:rPr>
          <w:rFonts w:ascii="Poppins" w:cs="Poppins" w:eastAsia="Poppins" w:hAnsi="Poppins"/>
          <w:b w:val="1"/>
          <w:bCs w:val="1"/>
          <w:i w:val="1"/>
          <w:iCs w:val="1"/>
          <w:color w:val="1a1a1a"/>
          <w:sz w:val="24"/>
          <w:szCs w:val="24"/>
        </w:rPr>
      </w:pPr>
      <w:r w:rsidDel="00000000" w:rsidR="00000000" w:rsidRPr="00000000">
        <w:rPr>
          <w:rFonts w:ascii="Poppins" w:cs="Poppins" w:eastAsia="Poppins" w:hAnsi="Poppins"/>
          <w:b w:val="1"/>
          <w:bCs w:val="1"/>
          <w:i w:val="1"/>
          <w:iCs w:val="1"/>
          <w:color w:val="1a1a1a"/>
          <w:sz w:val="24"/>
          <w:szCs w:val="24"/>
          <w:rtl w:val="0"/>
        </w:rPr>
        <w:t xml:space="preserve">Contexte et ampleur du défi</w:t>
      </w:r>
    </w:p>
    <w:p w:rsidR="00000000" w:rsidDel="00000000" w:rsidP="00000000" w:rsidRDefault="00000000" w:rsidRPr="00000000" w14:paraId="0000008F">
      <w:pPr>
        <w:spacing w:after="100" w:before="60" w:lineRule="auto"/>
        <w:jc w:val="both"/>
        <w:rPr>
          <w:rFonts w:ascii="Poppins" w:cs="Poppins" w:eastAsia="Poppins" w:hAnsi="Poppins"/>
          <w:color w:val="1a1a1a"/>
        </w:rPr>
      </w:pPr>
      <w:r w:rsidDel="00000000" w:rsidR="00000000" w:rsidRPr="00000000">
        <w:rPr>
          <w:rFonts w:ascii="Poppins" w:cs="Poppins" w:eastAsia="Poppins" w:hAnsi="Poppins"/>
          <w:color w:val="1a1a1a"/>
          <w:rtl w:val="0"/>
        </w:rPr>
        <w:t xml:space="preserve">Madagascar présente à la fois les défis les plus aigus en matière de participation des jeunes ruraux au sein du consortium EMPOWER+ et l’expression la plus extraordinaire d’un désir de changement. Le rapport de la Tâche 2.1 s’appuie sur une consultation des parties prenantes réunissant trente-quatre répondants dans sept régions, fournissant une base de données répartie au niveau national parmi les plus représentatives géographiquement du consortium. Le contexte de développement de Madagascar se caractérise par une vulnérabilité économique aiguë combinée à une population très jeune et majoritairement rurale. Les infrastructures rurales, notamment les routes, l’électricité et la connectivité numérique, sont fortement limitées en dehors de la capitale Antananarivo et d’un petit nombre de villes secondaires. Ces réalités structurelles créent un environnement dans lequel les obstacles à la participation des jeunes ruraux ne sont pas seulement institutionnels, mais fondamentalement économiques et géographiques.</w:t>
      </w:r>
    </w:p>
    <w:p w:rsidR="00000000" w:rsidDel="00000000" w:rsidP="00000000" w:rsidRDefault="00000000" w:rsidRPr="00000000" w14:paraId="00000090">
      <w:pPr>
        <w:spacing w:after="100" w:before="60" w:lineRule="auto"/>
        <w:jc w:val="both"/>
        <w:rPr>
          <w:rFonts w:ascii="Poppins" w:cs="Poppins" w:eastAsia="Poppins" w:hAnsi="Poppins"/>
          <w:b w:val="1"/>
          <w:bCs w:val="1"/>
          <w:i w:val="1"/>
          <w:iCs w:val="1"/>
          <w:color w:val="1a1a1a"/>
          <w:sz w:val="24"/>
          <w:szCs w:val="24"/>
        </w:rPr>
      </w:pPr>
      <w:r w:rsidDel="00000000" w:rsidR="00000000" w:rsidRPr="00000000">
        <w:rPr>
          <w:rFonts w:ascii="Poppins" w:cs="Poppins" w:eastAsia="Poppins" w:hAnsi="Poppins"/>
          <w:b w:val="1"/>
          <w:bCs w:val="1"/>
          <w:i w:val="1"/>
          <w:iCs w:val="1"/>
          <w:color w:val="1a1a1a"/>
          <w:sz w:val="24"/>
          <w:szCs w:val="24"/>
          <w:rtl w:val="0"/>
        </w:rPr>
        <w:t xml:space="preserve">Cadre formel et réalité vécue</w:t>
      </w:r>
    </w:p>
    <w:p w:rsidR="00000000" w:rsidDel="00000000" w:rsidP="00000000" w:rsidRDefault="00000000" w:rsidRPr="00000000" w14:paraId="00000091">
      <w:pPr>
        <w:spacing w:after="100" w:before="60" w:lineRule="auto"/>
        <w:jc w:val="both"/>
        <w:rPr>
          <w:rFonts w:ascii="Poppins" w:cs="Poppins" w:eastAsia="Poppins" w:hAnsi="Poppins"/>
          <w:color w:val="1a1a1a"/>
        </w:rPr>
      </w:pPr>
      <w:r w:rsidDel="00000000" w:rsidR="00000000" w:rsidRPr="00000000">
        <w:rPr>
          <w:rFonts w:ascii="Poppins" w:cs="Poppins" w:eastAsia="Poppins" w:hAnsi="Poppins"/>
          <w:color w:val="1a1a1a"/>
          <w:rtl w:val="0"/>
        </w:rPr>
        <w:t xml:space="preserve">Le cadre formel de participation comprend le Plan d’Émergence de Madagascar, qui établit de larges engagements de développement incluant l’engagement des jeunes ; les Plans communaux de développement, qui fournissent un mécanisme local de planification avec une exigence formelle de consultation ; ainsi que le processus de renouvellement du Plan national de la jeunesse du Ministère de la Jeunesse et des Sports. En principe, ces cadres fournissent la base juridique d’une consultation significative des jeunes aux niveaux national et local. L’écart entre ce cadre formel et la réalité vécue est, à tous égards, extrême. Aucun répondant de la consultation des trente-quatre parties prenantes n’a sélectionné « très actif » pour décrire l’engagement des jeunes dans la gouvernance locale. Seuls neuf pour cent ont indiqué que les points de vue des jeunes sont « toujours pris au sérieux » par les décideurs. Les trois obstacles les plus fréquemment cités sont : le manque de confiance ou d’expérience chez les jeunes eux-mêmes, signalé par vingt-neuf pour cent des répondants ; le fait que les jeunes ne soient pas invités ou informés à temps des possibilités de participation, signalé par vingt-quatre pour cent ; et le fait que les réunions soient dominées par des adultes plus âgés d’une manière qui exclut effectivement la voix des jeunes, signalé par dix-huit pour cent.</w:t>
      </w:r>
    </w:p>
    <w:p w:rsidR="00000000" w:rsidDel="00000000" w:rsidP="00000000" w:rsidRDefault="00000000" w:rsidRPr="00000000" w14:paraId="00000092">
      <w:pPr>
        <w:spacing w:after="100" w:before="60" w:lineRule="auto"/>
        <w:jc w:val="both"/>
        <w:rPr>
          <w:rFonts w:ascii="Poppins" w:cs="Poppins" w:eastAsia="Poppins" w:hAnsi="Poppins"/>
          <w:b w:val="1"/>
          <w:bCs w:val="1"/>
          <w:i w:val="1"/>
          <w:iCs w:val="1"/>
          <w:color w:val="1a1a1a"/>
          <w:sz w:val="24"/>
          <w:szCs w:val="24"/>
        </w:rPr>
      </w:pPr>
      <w:r w:rsidDel="00000000" w:rsidR="00000000" w:rsidRPr="00000000">
        <w:rPr>
          <w:rFonts w:ascii="Poppins" w:cs="Poppins" w:eastAsia="Poppins" w:hAnsi="Poppins"/>
          <w:b w:val="1"/>
          <w:bCs w:val="1"/>
          <w:i w:val="1"/>
          <w:iCs w:val="1"/>
          <w:color w:val="1a1a1a"/>
          <w:sz w:val="24"/>
          <w:szCs w:val="24"/>
          <w:rtl w:val="0"/>
        </w:rPr>
        <w:t xml:space="preserve">Traditions communautaires, énergie de terrain et mandat du RYP</w:t>
      </w:r>
    </w:p>
    <w:p w:rsidR="00000000" w:rsidDel="00000000" w:rsidP="00000000" w:rsidRDefault="00000000" w:rsidRPr="00000000" w14:paraId="00000093">
      <w:pPr>
        <w:spacing w:after="100" w:before="60" w:lineRule="auto"/>
        <w:jc w:val="both"/>
        <w:rPr>
          <w:rFonts w:ascii="Poppins" w:cs="Poppins" w:eastAsia="Poppins" w:hAnsi="Poppins"/>
          <w:color w:val="1a1a1a"/>
        </w:rPr>
      </w:pPr>
      <w:r w:rsidDel="00000000" w:rsidR="00000000" w:rsidRPr="00000000">
        <w:rPr>
          <w:rFonts w:ascii="Poppins" w:cs="Poppins" w:eastAsia="Poppins" w:hAnsi="Poppins"/>
          <w:color w:val="1a1a1a"/>
          <w:rtl w:val="0"/>
        </w:rPr>
        <w:t xml:space="preserve">Malgré la gravité de ces obstacles structurels, le rapport de la Tâche 2.1 sur Madagascar révèle une énergie civique locale significative et dynamique, enracinée dans des traditions communautaires antérieures au cadre formel de participation. L’andrimasompokonolona, un système traditionnel de veille communautaire dans lequel de jeunes hommes assument une responsabilité structurée pour la sécurité et l’ordre du village, fournit aux jeunes un rôle civique reconnu culturellement et doté d’une véritable légitimité communautaire. Les mouvements scouts, les groupes religieux de jeunes et les associations organisées localement sont les principaux véhicules par lesquels les jeunes ruraux s’engagent dans des activités collectives et développent des compétences civiques. Ces traditions communautaires constituent le point de départ le plus important pour le défi de conception du RYP dans le cadre d’EMPOWER+ : elles démontrent que les jeunes ruraux à Madagascar ne sont pas passifs ou désengagés, mais recherchent des rôles civiques structurés reliés à des résultats de gouvernance. La conclusion la plus significative de toute la consultation est le soutien unanime à un Parlement rural des jeunes exprimé par les trente-quatre répondants, cinquante pour cent sans condition et cinquante pour cent sous réserve de conditions incluant des ressources financières adéquates, un leadership local fort, une reconnaissance communautaire et des systèmes de communication inclusifs. Ce niveau de consensus constitue un mandat puissant pour l’intervention EMPOWER+.</w:t>
      </w:r>
    </w:p>
    <w:p w:rsidR="00000000" w:rsidDel="00000000" w:rsidP="00000000" w:rsidRDefault="00000000" w:rsidRPr="00000000" w14:paraId="00000094">
      <w:pPr>
        <w:spacing w:after="100" w:before="60" w:lineRule="auto"/>
        <w:jc w:val="both"/>
        <w:rPr>
          <w:rFonts w:ascii="Poppins" w:cs="Poppins" w:eastAsia="Poppins" w:hAnsi="Poppins"/>
          <w:b w:val="1"/>
          <w:bCs w:val="1"/>
          <w:i w:val="1"/>
          <w:iCs w:val="1"/>
          <w:color w:val="1a1a1a"/>
          <w:sz w:val="24"/>
          <w:szCs w:val="24"/>
        </w:rPr>
      </w:pPr>
      <w:r w:rsidDel="00000000" w:rsidR="00000000" w:rsidRPr="00000000">
        <w:rPr>
          <w:rFonts w:ascii="Poppins" w:cs="Poppins" w:eastAsia="Poppins" w:hAnsi="Poppins"/>
          <w:b w:val="1"/>
          <w:bCs w:val="1"/>
          <w:i w:val="1"/>
          <w:iCs w:val="1"/>
          <w:color w:val="1a1a1a"/>
          <w:sz w:val="24"/>
          <w:szCs w:val="24"/>
          <w:rtl w:val="0"/>
        </w:rPr>
        <w:t xml:space="preserve">Diagnostic clé</w:t>
      </w:r>
    </w:p>
    <w:p w:rsidR="00000000" w:rsidDel="00000000" w:rsidP="00000000" w:rsidRDefault="00000000" w:rsidRPr="00000000" w14:paraId="00000095">
      <w:pPr>
        <w:pStyle w:val="Heading3"/>
        <w:keepNext w:val="1"/>
        <w:spacing w:after="60" w:before="200" w:lineRule="auto"/>
        <w:rPr>
          <w:rFonts w:ascii="Poppins" w:cs="Poppins" w:eastAsia="Poppins" w:hAnsi="Poppins"/>
          <w:b w:val="0"/>
          <w:bCs w:val="0"/>
          <w:color w:val="1a1a1a"/>
          <w:sz w:val="22"/>
          <w:szCs w:val="22"/>
        </w:rPr>
      </w:pPr>
      <w:bookmarkStart w:colFirst="0" w:colLast="0" w:name="_heading=h.a2pieoj6c2lx" w:id="9"/>
      <w:bookmarkEnd w:id="9"/>
      <w:r w:rsidDel="00000000" w:rsidR="00000000" w:rsidRPr="00000000">
        <w:rPr>
          <w:rFonts w:ascii="Poppins" w:cs="Poppins" w:eastAsia="Poppins" w:hAnsi="Poppins"/>
          <w:b w:val="0"/>
          <w:bCs w:val="0"/>
          <w:color w:val="1a1a1a"/>
          <w:sz w:val="22"/>
          <w:szCs w:val="22"/>
          <w:rtl w:val="0"/>
        </w:rPr>
        <w:t xml:space="preserve">L’écart se situe entre un besoin urgent et une infrastructure absente. Les jeunes ruraux n’ont pas les moyens de participer financièrement, informationnellement ou en termes de coût social lié au fait de prendre la parole dans des espaces dominés par les anciens. La réponse de conception doit traiter simultanément ces trois dimensions.</w:t>
      </w:r>
    </w:p>
    <w:p w:rsidR="00000000" w:rsidDel="00000000" w:rsidP="00000000" w:rsidRDefault="00000000" w:rsidRPr="00000000" w14:paraId="00000096">
      <w:pPr>
        <w:pStyle w:val="Heading3"/>
        <w:keepNext w:val="1"/>
        <w:spacing w:after="60" w:before="200" w:lineRule="auto"/>
        <w:rPr>
          <w:rFonts w:ascii="Poppins" w:cs="Poppins" w:eastAsia="Poppins" w:hAnsi="Poppins"/>
          <w:color w:val="2f6b3a"/>
        </w:rPr>
      </w:pPr>
      <w:r w:rsidDel="00000000" w:rsidR="00000000" w:rsidRPr="00000000">
        <w:rPr>
          <w:rFonts w:ascii="Poppins" w:cs="Poppins" w:eastAsia="Poppins" w:hAnsi="Poppins"/>
          <w:color w:val="2f6b3a"/>
          <w:rtl w:val="0"/>
        </w:rPr>
        <w:t xml:space="preserve">2.1.3 Mauritius</w:t>
      </w:r>
    </w:p>
    <w:p w:rsidR="00000000" w:rsidDel="00000000" w:rsidP="00000000" w:rsidRDefault="00000000" w:rsidRPr="00000000" w14:paraId="00000097">
      <w:pPr>
        <w:spacing w:after="100" w:before="60" w:lineRule="auto"/>
        <w:jc w:val="both"/>
        <w:rPr>
          <w:rFonts w:ascii="Poppins" w:cs="Poppins" w:eastAsia="Poppins" w:hAnsi="Poppins"/>
          <w:b w:val="1"/>
          <w:bCs w:val="1"/>
          <w:i w:val="1"/>
          <w:iCs w:val="1"/>
          <w:color w:val="1a1a1a"/>
          <w:sz w:val="24"/>
          <w:szCs w:val="24"/>
        </w:rPr>
      </w:pPr>
      <w:r w:rsidDel="00000000" w:rsidR="00000000" w:rsidRPr="00000000">
        <w:rPr>
          <w:rFonts w:ascii="Poppins" w:cs="Poppins" w:eastAsia="Poppins" w:hAnsi="Poppins"/>
          <w:b w:val="1"/>
          <w:bCs w:val="1"/>
          <w:i w:val="1"/>
          <w:iCs w:val="1"/>
          <w:color w:val="1a1a1a"/>
          <w:sz w:val="24"/>
          <w:szCs w:val="24"/>
          <w:rtl w:val="0"/>
        </w:rPr>
        <w:t xml:space="preserve">Un écosystème institutionnellement développé</w:t>
      </w:r>
    </w:p>
    <w:p w:rsidR="00000000" w:rsidDel="00000000" w:rsidP="00000000" w:rsidRDefault="00000000" w:rsidRPr="00000000" w14:paraId="00000098">
      <w:pPr>
        <w:spacing w:after="100" w:before="60" w:lineRule="auto"/>
        <w:jc w:val="both"/>
        <w:rPr>
          <w:rFonts w:ascii="Poppins" w:cs="Poppins" w:eastAsia="Poppins" w:hAnsi="Poppins"/>
          <w:color w:val="1a1a1a"/>
        </w:rPr>
      </w:pPr>
      <w:r w:rsidDel="00000000" w:rsidR="00000000" w:rsidRPr="00000000">
        <w:rPr>
          <w:rFonts w:ascii="Poppins" w:cs="Poppins" w:eastAsia="Poppins" w:hAnsi="Poppins"/>
          <w:color w:val="1a1a1a"/>
          <w:rtl w:val="0"/>
        </w:rPr>
        <w:t xml:space="preserve">Maurice présente l’écosystème de participation des jeunes ruraux le plus institutionnellement développé du groupe Afrique subsaharienne. Sa taille relativement réduite, son revenu par habitant plus élevé et une infrastructure administrative étatique plus développée ont permis l’établissement d’un système de structures de participation des jeunes stratifié et réparti géographiquement, qui va nettement au-delà de ce qui existe dans les trois autres pays partenaires d’Afrique subsaharienne. Les Conseils régionaux de la jeunesse fonctionnent dans chaque district administratif de Maurice, y compris à Rodrigues, l’île semi-autonome qui représente la partie la plus éloignée géographiquement et la plus marginalisée sur le plan socio-économique du pays. Le Parlement des jeunes de Maurice fournit un forum délibératif biennal pour les jeunes âgés de quinze à vingt-quatre ans, offrant un modèle de simulation parlementaire testé au niveau national. Les Centres de jeunesse situés dans les zones rurales, notamment à Goodlands, Helvetia et Flacq, fournissent un accès gratuit à Internet et des interfaces directes avec les services gouvernementaux, réduisant certains des obstacles informationnels et numériques à la participation.</w:t>
      </w:r>
    </w:p>
    <w:p w:rsidR="00000000" w:rsidDel="00000000" w:rsidP="00000000" w:rsidRDefault="00000000" w:rsidRPr="00000000" w14:paraId="00000099">
      <w:pPr>
        <w:spacing w:after="100" w:before="60" w:lineRule="auto"/>
        <w:jc w:val="both"/>
        <w:rPr>
          <w:rFonts w:ascii="Poppins" w:cs="Poppins" w:eastAsia="Poppins" w:hAnsi="Poppins"/>
          <w:b w:val="1"/>
          <w:bCs w:val="1"/>
          <w:i w:val="1"/>
          <w:iCs w:val="1"/>
          <w:color w:val="1a1a1a"/>
          <w:sz w:val="24"/>
          <w:szCs w:val="24"/>
        </w:rPr>
      </w:pPr>
      <w:r w:rsidDel="00000000" w:rsidR="00000000" w:rsidRPr="00000000">
        <w:rPr>
          <w:rFonts w:ascii="Poppins" w:cs="Poppins" w:eastAsia="Poppins" w:hAnsi="Poppins"/>
          <w:b w:val="1"/>
          <w:bCs w:val="1"/>
          <w:i w:val="1"/>
          <w:iCs w:val="1"/>
          <w:color w:val="1a1a1a"/>
          <w:sz w:val="24"/>
          <w:szCs w:val="24"/>
          <w:rtl w:val="0"/>
        </w:rPr>
        <w:t xml:space="preserve">Le modèle YUVA et les bonnes pratiques durables</w:t>
      </w:r>
    </w:p>
    <w:p w:rsidR="00000000" w:rsidDel="00000000" w:rsidP="00000000" w:rsidRDefault="00000000" w:rsidRPr="00000000" w14:paraId="0000009A">
      <w:pPr>
        <w:spacing w:after="100" w:before="60" w:lineRule="auto"/>
        <w:jc w:val="both"/>
        <w:rPr>
          <w:rFonts w:ascii="Poppins" w:cs="Poppins" w:eastAsia="Poppins" w:hAnsi="Poppins"/>
          <w:color w:val="1a1a1a"/>
        </w:rPr>
      </w:pPr>
      <w:r w:rsidDel="00000000" w:rsidR="00000000" w:rsidRPr="00000000">
        <w:rPr>
          <w:rFonts w:ascii="Poppins" w:cs="Poppins" w:eastAsia="Poppins" w:hAnsi="Poppins"/>
          <w:color w:val="1a1a1a"/>
          <w:rtl w:val="0"/>
        </w:rPr>
        <w:t xml:space="preserve">YUVA Mauritius représente l’une des bonnes pratiques les plus intéressantes sur le plan analytique au sein du consortium EMPOWER+. En tant qu’organisation non gouvernementale ciblant spécifiquement les jeunes ruraux à travers son Rural Youth Empowerment Project, YUVA combine formation au leadership, microfinancement et programmes d’engagement civique dans un modèle qui répond explicitement aux obstacles économiques à la participation en même temps qu’aux obstacles institutionnels. Son agilité en tant qu’organisation de la société civile, sa capacité à répondre rapidement aux besoins émergents et à fonctionner avec une flexibilité dont les structures gouvernementales formelles sont dépourvues constituent une caractéristique de conception clé que la plateforme EMPOWER+ devrait chercher à reproduire ou à soutenir. Parmi les autres bonnes pratiques durables figurent le modèle de formation professionnelle des Maisons Familiales Rurales, qui intègre l’éducation civique au développement de compétences pratiques, ainsi que les Clubs de jeunes DIS-MOI, qui intègrent l’éducation civique dans les écoles de Maurice et de Rodrigues.</w:t>
      </w:r>
    </w:p>
    <w:p w:rsidR="00000000" w:rsidDel="00000000" w:rsidP="00000000" w:rsidRDefault="00000000" w:rsidRPr="00000000" w14:paraId="0000009B">
      <w:pPr>
        <w:spacing w:after="100" w:before="60" w:lineRule="auto"/>
        <w:jc w:val="both"/>
        <w:rPr>
          <w:rFonts w:ascii="Poppins" w:cs="Poppins" w:eastAsia="Poppins" w:hAnsi="Poppins"/>
          <w:b w:val="1"/>
          <w:bCs w:val="1"/>
          <w:i w:val="1"/>
          <w:iCs w:val="1"/>
          <w:color w:val="1a1a1a"/>
          <w:sz w:val="24"/>
          <w:szCs w:val="24"/>
        </w:rPr>
      </w:pPr>
      <w:r w:rsidDel="00000000" w:rsidR="00000000" w:rsidRPr="00000000">
        <w:rPr>
          <w:rFonts w:ascii="Poppins" w:cs="Poppins" w:eastAsia="Poppins" w:hAnsi="Poppins"/>
          <w:b w:val="1"/>
          <w:bCs w:val="1"/>
          <w:i w:val="1"/>
          <w:iCs w:val="1"/>
          <w:color w:val="1a1a1a"/>
          <w:sz w:val="24"/>
          <w:szCs w:val="24"/>
          <w:rtl w:val="0"/>
        </w:rPr>
        <w:t xml:space="preserve">Lacunes clés : dépendance à l’affiliation et exclusion rurale</w:t>
      </w:r>
    </w:p>
    <w:p w:rsidR="00000000" w:rsidDel="00000000" w:rsidP="00000000" w:rsidRDefault="00000000" w:rsidRPr="00000000" w14:paraId="0000009C">
      <w:pPr>
        <w:spacing w:after="100" w:before="60" w:lineRule="auto"/>
        <w:jc w:val="both"/>
        <w:rPr>
          <w:rFonts w:ascii="Poppins" w:cs="Poppins" w:eastAsia="Poppins" w:hAnsi="Poppins"/>
          <w:color w:val="1a1a1a"/>
        </w:rPr>
      </w:pPr>
      <w:r w:rsidDel="00000000" w:rsidR="00000000" w:rsidRPr="00000000">
        <w:rPr>
          <w:rFonts w:ascii="Poppins" w:cs="Poppins" w:eastAsia="Poppins" w:hAnsi="Poppins"/>
          <w:color w:val="1a1a1a"/>
          <w:rtl w:val="0"/>
        </w:rPr>
        <w:t xml:space="preserve">Malgré cet écosystème relativement développé, deux lacunes structurelles significatives sont identifiées. La première est la dépendance à l’affiliation : la participation formelle aux Conseils régionaux de la jeunesse et à de nombreuses autres structures officielles exige l’adhésion au Conseil national de la jeunesse ou à des organisations affiliées. Les jeunes ruraux qui ne sont pas membres de ces réseaux, c’est-à-dire la majorité des jeunes ruraux et en particulier ceux issus des communautés les plus marginalisées économiquement, constatent que leur accès aux structures formelles de participation est nettement inférieur à ce que l’architecture institutionnelle pourrait suggérer. La seconde lacune est le désengagement documenté des jeunes ruraux vis-à-vis des processus de politiques agricoles et de développement rural, malgré l’importance centrale de ces questions pour les moyens de subsistance ruraux. Les jeunes ruraux participent à des structures civiques, mais ces structures abordent rarement les défis spécifiques liés aux moyens de subsistance ruraux, à l’accès à la terre, au crédit et au développement agricole. Cette déconnexion entre les structures de participation et les questions qui comptent le plus pour les jeunes ruraux constitue un échec structurel de conception que le modèle RYP doit explicitement traiter.</w:t>
      </w:r>
    </w:p>
    <w:p w:rsidR="00000000" w:rsidDel="00000000" w:rsidP="00000000" w:rsidRDefault="00000000" w:rsidRPr="00000000" w14:paraId="0000009D">
      <w:pPr>
        <w:spacing w:after="100" w:before="60" w:lineRule="auto"/>
        <w:jc w:val="both"/>
        <w:rPr>
          <w:rFonts w:ascii="Poppins" w:cs="Poppins" w:eastAsia="Poppins" w:hAnsi="Poppins"/>
          <w:b w:val="1"/>
          <w:bCs w:val="1"/>
          <w:i w:val="1"/>
          <w:iCs w:val="1"/>
          <w:color w:val="1a1a1a"/>
          <w:sz w:val="24"/>
          <w:szCs w:val="24"/>
        </w:rPr>
      </w:pPr>
      <w:r w:rsidDel="00000000" w:rsidR="00000000" w:rsidRPr="00000000">
        <w:rPr>
          <w:rFonts w:ascii="Poppins" w:cs="Poppins" w:eastAsia="Poppins" w:hAnsi="Poppins"/>
          <w:b w:val="1"/>
          <w:bCs w:val="1"/>
          <w:i w:val="1"/>
          <w:iCs w:val="1"/>
          <w:color w:val="1a1a1a"/>
          <w:sz w:val="24"/>
          <w:szCs w:val="24"/>
          <w:rtl w:val="0"/>
        </w:rPr>
        <w:t xml:space="preserve">Diagnostic clé</w:t>
      </w:r>
    </w:p>
    <w:p w:rsidR="00000000" w:rsidDel="00000000" w:rsidP="00000000" w:rsidRDefault="00000000" w:rsidRPr="00000000" w14:paraId="0000009E">
      <w:pPr>
        <w:pStyle w:val="Heading3"/>
        <w:keepNext w:val="1"/>
        <w:spacing w:after="60" w:before="200" w:lineRule="auto"/>
        <w:rPr>
          <w:rFonts w:ascii="Poppins" w:cs="Poppins" w:eastAsia="Poppins" w:hAnsi="Poppins"/>
          <w:b w:val="0"/>
          <w:bCs w:val="0"/>
          <w:color w:val="1a1a1a"/>
          <w:sz w:val="22"/>
          <w:szCs w:val="22"/>
        </w:rPr>
      </w:pPr>
      <w:bookmarkStart w:colFirst="0" w:colLast="0" w:name="_heading=h.xpgqkuknimpd" w:id="10"/>
      <w:bookmarkEnd w:id="10"/>
      <w:r w:rsidDel="00000000" w:rsidR="00000000" w:rsidRPr="00000000">
        <w:rPr>
          <w:rFonts w:ascii="Poppins" w:cs="Poppins" w:eastAsia="Poppins" w:hAnsi="Poppins"/>
          <w:b w:val="0"/>
          <w:bCs w:val="0"/>
          <w:color w:val="1a1a1a"/>
          <w:sz w:val="22"/>
          <w:szCs w:val="22"/>
          <w:rtl w:val="0"/>
        </w:rPr>
        <w:t xml:space="preserve">La participation formelle dépend de l’affiliation au Conseil national de la jeunesse. Les jeunes ruraux indépendants, qui constituent la majorité, restent insuffisamment desservis. Soit le modèle d’affiliation doit étendre sa portée, soit des voies de participation accessibles et non affiliées doivent être créées parallèlement.</w:t>
      </w:r>
    </w:p>
    <w:p w:rsidR="00000000" w:rsidDel="00000000" w:rsidP="00000000" w:rsidRDefault="00000000" w:rsidRPr="00000000" w14:paraId="0000009F">
      <w:pPr>
        <w:pStyle w:val="Heading3"/>
        <w:keepNext w:val="1"/>
        <w:spacing w:after="60" w:before="200" w:lineRule="auto"/>
        <w:rPr>
          <w:rFonts w:ascii="Poppins" w:cs="Poppins" w:eastAsia="Poppins" w:hAnsi="Poppins"/>
          <w:color w:val="2f6b3a"/>
        </w:rPr>
      </w:pPr>
      <w:r w:rsidDel="00000000" w:rsidR="00000000" w:rsidRPr="00000000">
        <w:rPr>
          <w:rFonts w:ascii="Poppins" w:cs="Poppins" w:eastAsia="Poppins" w:hAnsi="Poppins"/>
          <w:color w:val="2f6b3a"/>
          <w:rtl w:val="0"/>
        </w:rPr>
        <w:t xml:space="preserve">2.1.4 Nigeria</w:t>
      </w:r>
    </w:p>
    <w:p w:rsidR="00000000" w:rsidDel="00000000" w:rsidP="00000000" w:rsidRDefault="00000000" w:rsidRPr="00000000" w14:paraId="000000A0">
      <w:pPr>
        <w:spacing w:after="100" w:before="60" w:lineRule="auto"/>
        <w:jc w:val="both"/>
        <w:rPr>
          <w:rFonts w:ascii="Poppins" w:cs="Poppins" w:eastAsia="Poppins" w:hAnsi="Poppins"/>
          <w:b w:val="1"/>
          <w:bCs w:val="1"/>
          <w:i w:val="1"/>
          <w:iCs w:val="1"/>
          <w:color w:val="1a1a1a"/>
          <w:sz w:val="24"/>
          <w:szCs w:val="24"/>
        </w:rPr>
      </w:pPr>
      <w:r w:rsidDel="00000000" w:rsidR="00000000" w:rsidRPr="00000000">
        <w:rPr>
          <w:rFonts w:ascii="Poppins" w:cs="Poppins" w:eastAsia="Poppins" w:hAnsi="Poppins"/>
          <w:b w:val="1"/>
          <w:bCs w:val="1"/>
          <w:i w:val="1"/>
          <w:iCs w:val="1"/>
          <w:color w:val="1a1a1a"/>
          <w:sz w:val="24"/>
          <w:szCs w:val="24"/>
          <w:rtl w:val="0"/>
        </w:rPr>
        <w:t xml:space="preserve">Échelle, complexité et fragmentation structurelle</w:t>
      </w:r>
    </w:p>
    <w:p w:rsidR="00000000" w:rsidDel="00000000" w:rsidP="00000000" w:rsidRDefault="00000000" w:rsidRPr="00000000" w14:paraId="000000A1">
      <w:pPr>
        <w:spacing w:after="100" w:before="60" w:lineRule="auto"/>
        <w:jc w:val="both"/>
        <w:rPr>
          <w:rFonts w:ascii="Poppins" w:cs="Poppins" w:eastAsia="Poppins" w:hAnsi="Poppins"/>
          <w:color w:val="1a1a1a"/>
        </w:rPr>
      </w:pPr>
      <w:r w:rsidDel="00000000" w:rsidR="00000000" w:rsidRPr="00000000">
        <w:rPr>
          <w:rFonts w:ascii="Poppins" w:cs="Poppins" w:eastAsia="Poppins" w:hAnsi="Poppins"/>
          <w:color w:val="1a1a1a"/>
          <w:rtl w:val="0"/>
        </w:rPr>
        <w:t xml:space="preserve">Le rapport de la Tâche 2.1 consacré au Nigeria constitue le diagnostic formel le plus complet du consortium, reflétant à la fois l’échelle du pays, en tant que nation la plus peuplée d’Afrique, et la complexité de son architecture de gouvernance à plusieurs niveaux, couvrant les niveaux fédéral, étatique et local. Les structures formelles documentées sont étendues : le National Youth Council of Nigeria, avec trente-six sections étatiques et sept cent soixante-quatorze branches au niveau des Local Government Areas ; le Nigeria Youth Parliament ; et au moins quinze parlements de jeunes au niveau des États dans différents États. Sous cette architecture formelle étendue, toutefois, l’analyse révèle un paysage de profonde fragmentation structurelle. Les structures formelles sont géographiquement concentrées dans les capitales des États et des LGAs et sont structurellement déconnectées des communautés rurales où vit la majorité des jeunes Nigérians. Le NYCN lui-même a été confronté à des défaillances de gouvernance documentées, notamment des irrégularités financières et des conflits internes, qui ont considérablement affaibli sa crédibilité en tant qu’organe représentatif.</w:t>
      </w:r>
    </w:p>
    <w:p w:rsidR="00000000" w:rsidDel="00000000" w:rsidP="00000000" w:rsidRDefault="00000000" w:rsidRPr="00000000" w14:paraId="000000A2">
      <w:pPr>
        <w:spacing w:after="100" w:before="60" w:lineRule="auto"/>
        <w:jc w:val="both"/>
        <w:rPr>
          <w:rFonts w:ascii="Poppins" w:cs="Poppins" w:eastAsia="Poppins" w:hAnsi="Poppins"/>
          <w:color w:val="1a1a1a"/>
        </w:rPr>
      </w:pPr>
      <w:r w:rsidDel="00000000" w:rsidR="00000000" w:rsidRPr="00000000">
        <w:rPr>
          <w:rtl w:val="0"/>
        </w:rPr>
      </w:r>
    </w:p>
    <w:p w:rsidR="00000000" w:rsidDel="00000000" w:rsidP="00000000" w:rsidRDefault="00000000" w:rsidRPr="00000000" w14:paraId="000000A3">
      <w:pPr>
        <w:spacing w:after="100" w:before="60" w:lineRule="auto"/>
        <w:jc w:val="both"/>
        <w:rPr>
          <w:rFonts w:ascii="Poppins" w:cs="Poppins" w:eastAsia="Poppins" w:hAnsi="Poppins"/>
          <w:b w:val="1"/>
          <w:bCs w:val="1"/>
          <w:i w:val="1"/>
          <w:iCs w:val="1"/>
          <w:color w:val="1a1a1a"/>
          <w:sz w:val="24"/>
          <w:szCs w:val="24"/>
        </w:rPr>
      </w:pPr>
      <w:r w:rsidDel="00000000" w:rsidR="00000000" w:rsidRPr="00000000">
        <w:rPr>
          <w:rFonts w:ascii="Poppins" w:cs="Poppins" w:eastAsia="Poppins" w:hAnsi="Poppins"/>
          <w:b w:val="1"/>
          <w:bCs w:val="1"/>
          <w:i w:val="1"/>
          <w:iCs w:val="1"/>
          <w:color w:val="1a1a1a"/>
          <w:sz w:val="24"/>
          <w:szCs w:val="24"/>
          <w:rtl w:val="0"/>
        </w:rPr>
        <w:t xml:space="preserve">Les structures informelles et hybrides comme véritable architecture de participation</w:t>
      </w:r>
    </w:p>
    <w:p w:rsidR="00000000" w:rsidDel="00000000" w:rsidP="00000000" w:rsidRDefault="00000000" w:rsidRPr="00000000" w14:paraId="000000A4">
      <w:pPr>
        <w:spacing w:after="100" w:before="60" w:lineRule="auto"/>
        <w:jc w:val="both"/>
        <w:rPr>
          <w:rFonts w:ascii="Poppins" w:cs="Poppins" w:eastAsia="Poppins" w:hAnsi="Poppins"/>
          <w:color w:val="1a1a1a"/>
        </w:rPr>
      </w:pPr>
      <w:r w:rsidDel="00000000" w:rsidR="00000000" w:rsidRPr="00000000">
        <w:rPr>
          <w:rFonts w:ascii="Poppins" w:cs="Poppins" w:eastAsia="Poppins" w:hAnsi="Poppins"/>
          <w:color w:val="1a1a1a"/>
          <w:rtl w:val="0"/>
        </w:rPr>
        <w:t xml:space="preserve">Bien plus accessibles et dignes de confiance pour les jeunes ruraux que l’infrastructure formelle du NYCN sont les structures de participation informelles et hybrides opérant au niveau communautaire. Les associations de classes d’âge, groupes organisés de jeunes nés dans une tranche d’âge définie, constituent une institution sociale profondément ancrée dans de nombreuses régions du Nigeria, en particulier dans le Sud-Est et le Sud-Sud. Elles fournissent des cadres structurés d’action collective, des obligations de service communautaire, des systèmes de responsabilisation entre pairs et des rôles informels de gouvernance qui dépassent largement ce que la structure formelle du parlement des jeunes offre en matière d’accessibilité rurale et de légitimité culturelle. L’institution Sarkin Samari, le système traditionnel de leadership des jeunes que l’on trouve dans le nord du Nigeria, est particulièrement significative. Les chefs Sarkin Samari détiennent une autorité traditionnelle formelle reconnue au sein du système des conseils émiraux, fournissent un canal permettant aux préoccupations des jeunes d’atteindre le leadership traditionnel et, dans certains cas, occupent des rôles consultatifs formels dans les processus de gouvernement local. Cette institution représente une forme de gouvernance intergénérationnelle institutionnalisée sans équivalent direct dans les autres pays partenaires d’Afrique subsaharienne et offre une référence de conception prometteuse pour le développement des RYPs dans le cadre d’EMPOWER+.</w:t>
      </w:r>
    </w:p>
    <w:p w:rsidR="00000000" w:rsidDel="00000000" w:rsidP="00000000" w:rsidRDefault="00000000" w:rsidRPr="00000000" w14:paraId="000000A5">
      <w:pPr>
        <w:spacing w:after="100" w:before="60" w:lineRule="auto"/>
        <w:jc w:val="both"/>
        <w:rPr>
          <w:rFonts w:ascii="Poppins" w:cs="Poppins" w:eastAsia="Poppins" w:hAnsi="Poppins"/>
          <w:b w:val="1"/>
          <w:bCs w:val="1"/>
          <w:i w:val="1"/>
          <w:iCs w:val="1"/>
          <w:color w:val="1a1a1a"/>
          <w:sz w:val="24"/>
          <w:szCs w:val="24"/>
        </w:rPr>
      </w:pPr>
      <w:r w:rsidDel="00000000" w:rsidR="00000000" w:rsidRPr="00000000">
        <w:rPr>
          <w:rFonts w:ascii="Poppins" w:cs="Poppins" w:eastAsia="Poppins" w:hAnsi="Poppins"/>
          <w:b w:val="1"/>
          <w:bCs w:val="1"/>
          <w:i w:val="1"/>
          <w:iCs w:val="1"/>
          <w:color w:val="1a1a1a"/>
          <w:sz w:val="24"/>
          <w:szCs w:val="24"/>
          <w:rtl w:val="0"/>
        </w:rPr>
        <w:t xml:space="preserve">Cadre juridique et crise du financement</w:t>
      </w:r>
    </w:p>
    <w:p w:rsidR="00000000" w:rsidDel="00000000" w:rsidP="00000000" w:rsidRDefault="00000000" w:rsidRPr="00000000" w14:paraId="000000A6">
      <w:pPr>
        <w:spacing w:after="100" w:before="60" w:lineRule="auto"/>
        <w:jc w:val="both"/>
        <w:rPr>
          <w:rFonts w:ascii="Poppins" w:cs="Poppins" w:eastAsia="Poppins" w:hAnsi="Poppins"/>
          <w:color w:val="1a1a1a"/>
        </w:rPr>
      </w:pPr>
      <w:r w:rsidDel="00000000" w:rsidR="00000000" w:rsidRPr="00000000">
        <w:rPr>
          <w:rFonts w:ascii="Poppins" w:cs="Poppins" w:eastAsia="Poppins" w:hAnsi="Poppins"/>
          <w:color w:val="1a1a1a"/>
          <w:rtl w:val="0"/>
        </w:rPr>
        <w:t xml:space="preserve">Le cadre constitutionnel et politique du Nigeria est à la fois juridiquement permissif et pratiquement inopérant. Le principe de participation inscrit dans la Constitution de 1999 n’est pas justiciable, établissant un engagement déclaré en faveur de la participation, mais sans fournir de base juridique pour l’appliquer ou pour tenir les institutions responsables en cas de non-mise en œuvre. La Politique nationale de la jeunesse de 2019 fournit un engagement-cadre, mais manque de mandats de mise en œuvre ou de mécanismes de financement. La contrainte structurelle la plus aiguë est le déficit de financement. Les dépenses publiques liées à la jeunesse sont documentées comme étant inférieures à un pour cent des budgets des États dans la plupart des États, avec une dépense par jeune dans l’État de Kogi aussi faible que 4 299 NGN, un chiffre qui rend toute idée d’infrastructure de participation financée et accessible une aspiration lointaine sans action corrective délibérée. Sans financement public prévisible et dédié au niveau des Local Government Areas, toute structure de parlement des jeunes, aussi bien conçue soit-elle, dépendra du financement externe par projet et sera donc intrinsèquement épisodique.</w:t>
      </w:r>
    </w:p>
    <w:p w:rsidR="00000000" w:rsidDel="00000000" w:rsidP="00000000" w:rsidRDefault="00000000" w:rsidRPr="00000000" w14:paraId="000000A7">
      <w:pPr>
        <w:spacing w:after="100" w:before="60" w:lineRule="auto"/>
        <w:jc w:val="both"/>
        <w:rPr>
          <w:rFonts w:ascii="Poppins" w:cs="Poppins" w:eastAsia="Poppins" w:hAnsi="Poppins"/>
          <w:b w:val="1"/>
          <w:bCs w:val="1"/>
          <w:i w:val="1"/>
          <w:iCs w:val="1"/>
          <w:color w:val="1a1a1a"/>
          <w:sz w:val="24"/>
          <w:szCs w:val="24"/>
        </w:rPr>
      </w:pPr>
      <w:r w:rsidDel="00000000" w:rsidR="00000000" w:rsidRPr="00000000">
        <w:rPr>
          <w:rFonts w:ascii="Poppins" w:cs="Poppins" w:eastAsia="Poppins" w:hAnsi="Poppins"/>
          <w:b w:val="1"/>
          <w:bCs w:val="1"/>
          <w:i w:val="1"/>
          <w:iCs w:val="1"/>
          <w:color w:val="1a1a1a"/>
          <w:sz w:val="24"/>
          <w:szCs w:val="24"/>
          <w:rtl w:val="0"/>
        </w:rPr>
        <w:t xml:space="preserve">Diagnostic clé</w:t>
      </w:r>
    </w:p>
    <w:p w:rsidR="00000000" w:rsidDel="00000000" w:rsidP="00000000" w:rsidRDefault="00000000" w:rsidRPr="00000000" w14:paraId="000000A8">
      <w:pPr>
        <w:pStyle w:val="Heading2"/>
        <w:keepNext w:val="1"/>
        <w:spacing w:after="80" w:before="280" w:lineRule="auto"/>
        <w:rPr>
          <w:rFonts w:ascii="Poppins" w:cs="Poppins" w:eastAsia="Poppins" w:hAnsi="Poppins"/>
          <w:b w:val="0"/>
          <w:bCs w:val="0"/>
          <w:color w:val="1a1a1a"/>
          <w:sz w:val="22"/>
          <w:szCs w:val="22"/>
        </w:rPr>
      </w:pPr>
      <w:bookmarkStart w:colFirst="0" w:colLast="0" w:name="_heading=h.auy9mzglo54r" w:id="11"/>
      <w:bookmarkEnd w:id="11"/>
      <w:r w:rsidDel="00000000" w:rsidR="00000000" w:rsidRPr="00000000">
        <w:rPr>
          <w:rFonts w:ascii="Poppins" w:cs="Poppins" w:eastAsia="Poppins" w:hAnsi="Poppins"/>
          <w:b w:val="0"/>
          <w:bCs w:val="0"/>
          <w:color w:val="1a1a1a"/>
          <w:sz w:val="22"/>
          <w:szCs w:val="22"/>
          <w:rtl w:val="0"/>
        </w:rPr>
        <w:t xml:space="preserve">La contrainte déterminante est la fragmentation entre des structures informelles localement légitimes qui manquent d’autorité et des institutions formelles dotées d’autorité qui manquent de proximité avec la réalité rurale. Tout RYP efficace doit relier ces deux niveaux et être soutenu dès le départ par un financement public prévisible au niveau des LGAs.</w:t>
      </w:r>
    </w:p>
    <w:p w:rsidR="00000000" w:rsidDel="00000000" w:rsidP="00000000" w:rsidRDefault="00000000" w:rsidRPr="00000000" w14:paraId="000000A9">
      <w:pPr>
        <w:pStyle w:val="Heading2"/>
        <w:keepNext w:val="1"/>
        <w:spacing w:after="80" w:before="280" w:lineRule="auto"/>
        <w:rPr>
          <w:rFonts w:ascii="Poppins" w:cs="Poppins" w:eastAsia="Poppins" w:hAnsi="Poppins"/>
          <w:color w:val="b7c3a1"/>
        </w:rPr>
      </w:pPr>
      <w:r w:rsidDel="00000000" w:rsidR="00000000" w:rsidRPr="00000000">
        <w:rPr>
          <w:rFonts w:ascii="Poppins" w:cs="Poppins" w:eastAsia="Poppins" w:hAnsi="Poppins"/>
          <w:color w:val="b7c3a1"/>
          <w:rtl w:val="0"/>
        </w:rPr>
        <w:t xml:space="preserve">2.2 Pays partenaires européens</w:t>
      </w:r>
    </w:p>
    <w:p w:rsidR="00000000" w:rsidDel="00000000" w:rsidP="00000000" w:rsidRDefault="00000000" w:rsidRPr="00000000" w14:paraId="000000AA">
      <w:pPr>
        <w:pStyle w:val="Heading3"/>
        <w:keepNext w:val="1"/>
        <w:spacing w:after="60" w:before="200" w:lineRule="auto"/>
        <w:rPr>
          <w:rFonts w:ascii="Poppins" w:cs="Poppins" w:eastAsia="Poppins" w:hAnsi="Poppins"/>
          <w:color w:val="2f6b3a"/>
        </w:rPr>
      </w:pPr>
      <w:bookmarkStart w:colFirst="0" w:colLast="0" w:name="_heading=h.dbcte1basibo" w:id="12"/>
      <w:bookmarkEnd w:id="12"/>
      <w:r w:rsidDel="00000000" w:rsidR="00000000" w:rsidRPr="00000000">
        <w:rPr>
          <w:rFonts w:ascii="Poppins" w:cs="Poppins" w:eastAsia="Poppins" w:hAnsi="Poppins"/>
          <w:color w:val="2f6b3a"/>
          <w:rtl w:val="0"/>
        </w:rPr>
        <w:t xml:space="preserve">2.2.1 Grecia</w:t>
      </w:r>
    </w:p>
    <w:p w:rsidR="00000000" w:rsidDel="00000000" w:rsidP="00000000" w:rsidRDefault="00000000" w:rsidRPr="00000000" w14:paraId="000000AB">
      <w:pPr>
        <w:spacing w:after="100" w:before="60" w:lineRule="auto"/>
        <w:jc w:val="both"/>
        <w:rPr>
          <w:rFonts w:ascii="Poppins" w:cs="Poppins" w:eastAsia="Poppins" w:hAnsi="Poppins"/>
          <w:b w:val="1"/>
          <w:bCs w:val="1"/>
          <w:i w:val="1"/>
          <w:iCs w:val="1"/>
          <w:color w:val="1a1a1a"/>
          <w:sz w:val="24"/>
          <w:szCs w:val="24"/>
        </w:rPr>
      </w:pPr>
      <w:r w:rsidDel="00000000" w:rsidR="00000000" w:rsidRPr="00000000">
        <w:rPr>
          <w:rFonts w:ascii="Poppins" w:cs="Poppins" w:eastAsia="Poppins" w:hAnsi="Poppins"/>
          <w:b w:val="1"/>
          <w:bCs w:val="1"/>
          <w:i w:val="1"/>
          <w:iCs w:val="1"/>
          <w:color w:val="1a1a1a"/>
          <w:sz w:val="24"/>
          <w:szCs w:val="24"/>
          <w:rtl w:val="0"/>
        </w:rPr>
        <w:t xml:space="preserve">Paysage institutionnel et structures formelles</w:t>
      </w:r>
    </w:p>
    <w:p w:rsidR="00000000" w:rsidDel="00000000" w:rsidP="00000000" w:rsidRDefault="00000000" w:rsidRPr="00000000" w14:paraId="000000AC">
      <w:pPr>
        <w:spacing w:after="100" w:before="60" w:lineRule="auto"/>
        <w:jc w:val="both"/>
        <w:rPr>
          <w:rFonts w:ascii="Poppins" w:cs="Poppins" w:eastAsia="Poppins" w:hAnsi="Poppins"/>
          <w:color w:val="1a1a1a"/>
        </w:rPr>
      </w:pPr>
      <w:r w:rsidDel="00000000" w:rsidR="00000000" w:rsidRPr="00000000">
        <w:rPr>
          <w:rFonts w:ascii="Poppins" w:cs="Poppins" w:eastAsia="Poppins" w:hAnsi="Poppins"/>
          <w:color w:val="1a1a1a"/>
          <w:rtl w:val="0"/>
        </w:rPr>
        <w:t xml:space="preserve">L’écosystème de participation des jeunes en Grèce est diversifié et formellement développé dans le cadre de la Stratégie de l’UE en faveur de la jeunesse. Le Conseil national hellénique de la jeunesse sert de principal organe représentatif des organisations de jeunesse au niveau national, fournissant une interface formelle entre les jeunes organisés et le gouvernement. Des Conseils municipaux des jeunes fonctionnent dans plusieurs municipalités du pays, le Conseil municipal des jeunes de Larissa représentant l’exemple le mieux documenté d’apport structuré des jeunes à la prise de décision municipale, en organisant régulièrement des réunions de comités thématiques sur l’éducation, la culture et la politique sociale. Des initiatives communautaires telles que Save Your Hood et Ecogenia ont été pionnières dans les approches participatives de la gouvernance de quartier et de l’environnement, démontrant la vitalité de la participation non formelle au-delà des structures institutionnelles.</w:t>
      </w:r>
    </w:p>
    <w:p w:rsidR="00000000" w:rsidDel="00000000" w:rsidP="00000000" w:rsidRDefault="00000000" w:rsidRPr="00000000" w14:paraId="000000AD">
      <w:pPr>
        <w:spacing w:after="100" w:before="60" w:lineRule="auto"/>
        <w:jc w:val="both"/>
        <w:rPr>
          <w:rFonts w:ascii="Poppins" w:cs="Poppins" w:eastAsia="Poppins" w:hAnsi="Poppins"/>
          <w:b w:val="1"/>
          <w:bCs w:val="1"/>
          <w:i w:val="1"/>
          <w:iCs w:val="1"/>
          <w:color w:val="1a1a1a"/>
          <w:sz w:val="24"/>
          <w:szCs w:val="24"/>
        </w:rPr>
      </w:pPr>
      <w:r w:rsidDel="00000000" w:rsidR="00000000" w:rsidRPr="00000000">
        <w:rPr>
          <w:rFonts w:ascii="Poppins" w:cs="Poppins" w:eastAsia="Poppins" w:hAnsi="Poppins"/>
          <w:b w:val="1"/>
          <w:bCs w:val="1"/>
          <w:i w:val="1"/>
          <w:iCs w:val="1"/>
          <w:color w:val="1a1a1a"/>
          <w:sz w:val="24"/>
          <w:szCs w:val="24"/>
          <w:rtl w:val="0"/>
        </w:rPr>
        <w:t xml:space="preserve">Lacunes rurales et limites de mise en œuvre</w:t>
      </w:r>
    </w:p>
    <w:p w:rsidR="00000000" w:rsidDel="00000000" w:rsidP="00000000" w:rsidRDefault="00000000" w:rsidRPr="00000000" w14:paraId="000000AE">
      <w:pPr>
        <w:spacing w:after="100" w:before="60" w:lineRule="auto"/>
        <w:jc w:val="both"/>
        <w:rPr>
          <w:rFonts w:ascii="Poppins" w:cs="Poppins" w:eastAsia="Poppins" w:hAnsi="Poppins"/>
          <w:color w:val="1a1a1a"/>
        </w:rPr>
      </w:pPr>
      <w:r w:rsidDel="00000000" w:rsidR="00000000" w:rsidRPr="00000000">
        <w:rPr>
          <w:rFonts w:ascii="Poppins" w:cs="Poppins" w:eastAsia="Poppins" w:hAnsi="Poppins"/>
          <w:color w:val="1a1a1a"/>
          <w:rtl w:val="0"/>
        </w:rPr>
        <w:t xml:space="preserve">Le rapport de la Tâche 2.1 consacré à la Grèce identifie trois lacunes structurelles clés qui sont directement pertinentes pour le défi de conception d’EMPOWER+. Premièrement, les possibilités de participation sont géographiquement concentrées dans les centres urbains, les municipalités rurales étant nettement sous-desservies à la fois par les structures institutionnelles formelles et par les programmes de participation portés par la société civile. Deuxièmement, les Conseils municipaux des jeunes sont établis et fonctionnent de manière inégale selon les municipalités : bien que la base juridique de leur création existe, de nombreuses municipalités rurales ne les ont pas établis, et ceux qui existent varient énormément en termes de niveau d’activité et d’intégration institutionnelle. Troisièmement, la dépendance à l’égard du financement européen fondé sur des projets crée une fragilité structurelle : les structures de participation sont dynamisées pendant les cycles de projet puis se rétractent lorsque le financement prend fin, produisant un schéma d’engagement épisodique plutôt que durable, particulièrement préjudiciable à la construction de la confiance avec les jeunes ruraux.</w:t>
      </w:r>
    </w:p>
    <w:p w:rsidR="00000000" w:rsidDel="00000000" w:rsidP="00000000" w:rsidRDefault="00000000" w:rsidRPr="00000000" w14:paraId="000000AF">
      <w:pPr>
        <w:spacing w:after="100" w:before="60" w:lineRule="auto"/>
        <w:jc w:val="both"/>
        <w:rPr>
          <w:rFonts w:ascii="Poppins" w:cs="Poppins" w:eastAsia="Poppins" w:hAnsi="Poppins"/>
          <w:b w:val="1"/>
          <w:bCs w:val="1"/>
          <w:i w:val="1"/>
          <w:iCs w:val="1"/>
          <w:color w:val="1a1a1a"/>
          <w:sz w:val="24"/>
          <w:szCs w:val="24"/>
        </w:rPr>
      </w:pPr>
      <w:r w:rsidDel="00000000" w:rsidR="00000000" w:rsidRPr="00000000">
        <w:rPr>
          <w:rFonts w:ascii="Poppins" w:cs="Poppins" w:eastAsia="Poppins" w:hAnsi="Poppins"/>
          <w:b w:val="1"/>
          <w:bCs w:val="1"/>
          <w:i w:val="1"/>
          <w:iCs w:val="1"/>
          <w:color w:val="1a1a1a"/>
          <w:sz w:val="24"/>
          <w:szCs w:val="24"/>
          <w:rtl w:val="0"/>
        </w:rPr>
        <w:t xml:space="preserve">Transférabilité vers la conception en Afrique subsaharienne</w:t>
      </w:r>
    </w:p>
    <w:p w:rsidR="00000000" w:rsidDel="00000000" w:rsidP="00000000" w:rsidRDefault="00000000" w:rsidRPr="00000000" w14:paraId="000000B0">
      <w:pPr>
        <w:spacing w:after="100" w:before="60" w:lineRule="auto"/>
        <w:jc w:val="both"/>
        <w:rPr>
          <w:rFonts w:ascii="Poppins" w:cs="Poppins" w:eastAsia="Poppins" w:hAnsi="Poppins"/>
          <w:color w:val="1a1a1a"/>
        </w:rPr>
      </w:pPr>
      <w:r w:rsidDel="00000000" w:rsidR="00000000" w:rsidRPr="00000000">
        <w:rPr>
          <w:rFonts w:ascii="Poppins" w:cs="Poppins" w:eastAsia="Poppins" w:hAnsi="Poppins"/>
          <w:color w:val="1a1a1a"/>
          <w:rtl w:val="0"/>
        </w:rPr>
        <w:t xml:space="preserve">La contribution de la Grèce au processus de transfert de connaissances EMPOWER+ réside principalement dans son expérience documentée des Conseils municipaux des jeunes, qui fournit un modèle de référence pour l’intégration institutionnelle des organes délibératifs de jeunes dans la gouvernance locale. L’expérience de Larissa en particulier démontre comment un conseil de jeunes peut développer de véritables relations de travail thématiques avec les services municipaux, en dépassant la consultation symbolique pour aller vers un engagement structuré dans des domaines politiques spécifiques. Le constat constant selon lequel même ce contexte européen relativement bien doté en ressources fait face à des défis de sous-représentation rurale et de fragilité du financement par projet constitue en soi une leçon importante : il s’agit de défis structurels de la gouvernance des jeunes, et non d’échecs propres aux contextes de développement.</w:t>
      </w:r>
    </w:p>
    <w:p w:rsidR="00000000" w:rsidDel="00000000" w:rsidP="00000000" w:rsidRDefault="00000000" w:rsidRPr="00000000" w14:paraId="000000B1">
      <w:pPr>
        <w:spacing w:after="100" w:before="60" w:lineRule="auto"/>
        <w:jc w:val="both"/>
        <w:rPr>
          <w:rFonts w:ascii="Poppins" w:cs="Poppins" w:eastAsia="Poppins" w:hAnsi="Poppins"/>
          <w:b w:val="1"/>
          <w:bCs w:val="1"/>
          <w:i w:val="1"/>
          <w:iCs w:val="1"/>
          <w:color w:val="1a1a1a"/>
          <w:sz w:val="24"/>
          <w:szCs w:val="24"/>
        </w:rPr>
      </w:pPr>
      <w:r w:rsidDel="00000000" w:rsidR="00000000" w:rsidRPr="00000000">
        <w:rPr>
          <w:rFonts w:ascii="Poppins" w:cs="Poppins" w:eastAsia="Poppins" w:hAnsi="Poppins"/>
          <w:b w:val="1"/>
          <w:bCs w:val="1"/>
          <w:i w:val="1"/>
          <w:iCs w:val="1"/>
          <w:color w:val="1a1a1a"/>
          <w:sz w:val="24"/>
          <w:szCs w:val="24"/>
          <w:rtl w:val="0"/>
        </w:rPr>
        <w:t xml:space="preserve">Leçon de transférabilité</w:t>
      </w:r>
    </w:p>
    <w:p w:rsidR="00000000" w:rsidDel="00000000" w:rsidP="00000000" w:rsidRDefault="00000000" w:rsidRPr="00000000" w14:paraId="000000B2">
      <w:pPr>
        <w:pStyle w:val="Heading3"/>
        <w:keepNext w:val="1"/>
        <w:spacing w:after="60" w:before="200" w:lineRule="auto"/>
        <w:rPr>
          <w:rFonts w:ascii="Poppins" w:cs="Poppins" w:eastAsia="Poppins" w:hAnsi="Poppins"/>
          <w:b w:val="0"/>
          <w:bCs w:val="0"/>
          <w:color w:val="1a1a1a"/>
          <w:sz w:val="22"/>
          <w:szCs w:val="22"/>
        </w:rPr>
      </w:pPr>
      <w:bookmarkStart w:colFirst="0" w:colLast="0" w:name="_heading=h.kavalafijipn" w:id="13"/>
      <w:bookmarkEnd w:id="13"/>
      <w:r w:rsidDel="00000000" w:rsidR="00000000" w:rsidRPr="00000000">
        <w:rPr>
          <w:rFonts w:ascii="Poppins" w:cs="Poppins" w:eastAsia="Poppins" w:hAnsi="Poppins"/>
          <w:b w:val="0"/>
          <w:bCs w:val="0"/>
          <w:color w:val="1a1a1a"/>
          <w:sz w:val="22"/>
          <w:szCs w:val="22"/>
          <w:rtl w:val="0"/>
        </w:rPr>
        <w:t xml:space="preserve">Même dans une démocratie européenne à revenu intermédiaire disposant d’un accès aux fonds structurels de l’UE, les Conseils municipaux des jeunes sont actifs de manière inégale dans les zones rurales et le financement par projet crée une fragilité structurelle. Ces schémas seront plus aigus dans les contextes d’Afrique subsaharienne et nécessitent des mesures d’atténuation explicites dans la conception.</w:t>
      </w:r>
    </w:p>
    <w:p w:rsidR="00000000" w:rsidDel="00000000" w:rsidP="00000000" w:rsidRDefault="00000000" w:rsidRPr="00000000" w14:paraId="000000B3">
      <w:pPr>
        <w:pStyle w:val="Heading3"/>
        <w:keepNext w:val="1"/>
        <w:spacing w:after="60" w:before="200" w:lineRule="auto"/>
        <w:rPr>
          <w:rFonts w:ascii="Poppins" w:cs="Poppins" w:eastAsia="Poppins" w:hAnsi="Poppins"/>
          <w:color w:val="2f6b3a"/>
        </w:rPr>
      </w:pPr>
      <w:r w:rsidDel="00000000" w:rsidR="00000000" w:rsidRPr="00000000">
        <w:rPr>
          <w:rFonts w:ascii="Poppins" w:cs="Poppins" w:eastAsia="Poppins" w:hAnsi="Poppins"/>
          <w:color w:val="2f6b3a"/>
          <w:rtl w:val="0"/>
        </w:rPr>
        <w:t xml:space="preserve">2.2.2 Italia</w:t>
      </w:r>
    </w:p>
    <w:p w:rsidR="00000000" w:rsidDel="00000000" w:rsidP="00000000" w:rsidRDefault="00000000" w:rsidRPr="00000000" w14:paraId="000000B4">
      <w:pPr>
        <w:spacing w:after="100" w:before="60" w:lineRule="auto"/>
        <w:jc w:val="both"/>
        <w:rPr>
          <w:rFonts w:ascii="Poppins" w:cs="Poppins" w:eastAsia="Poppins" w:hAnsi="Poppins"/>
          <w:b w:val="1"/>
          <w:bCs w:val="1"/>
          <w:i w:val="1"/>
          <w:iCs w:val="1"/>
          <w:color w:val="1a1a1a"/>
          <w:sz w:val="24"/>
          <w:szCs w:val="24"/>
        </w:rPr>
      </w:pPr>
      <w:r w:rsidDel="00000000" w:rsidR="00000000" w:rsidRPr="00000000">
        <w:rPr>
          <w:rFonts w:ascii="Poppins" w:cs="Poppins" w:eastAsia="Poppins" w:hAnsi="Poppins"/>
          <w:b w:val="1"/>
          <w:bCs w:val="1"/>
          <w:i w:val="1"/>
          <w:iCs w:val="1"/>
          <w:color w:val="1a1a1a"/>
          <w:sz w:val="24"/>
          <w:szCs w:val="24"/>
          <w:rtl w:val="0"/>
        </w:rPr>
        <w:t xml:space="preserve">Disponibilité des ressources et fragmentation institutionnelle</w:t>
      </w:r>
    </w:p>
    <w:p w:rsidR="00000000" w:rsidDel="00000000" w:rsidP="00000000" w:rsidRDefault="00000000" w:rsidRPr="00000000" w14:paraId="000000B5">
      <w:pPr>
        <w:spacing w:after="100" w:before="60" w:lineRule="auto"/>
        <w:jc w:val="both"/>
        <w:rPr>
          <w:rFonts w:ascii="Poppins" w:cs="Poppins" w:eastAsia="Poppins" w:hAnsi="Poppins"/>
          <w:color w:val="1a1a1a"/>
        </w:rPr>
      </w:pPr>
      <w:r w:rsidDel="00000000" w:rsidR="00000000" w:rsidRPr="00000000">
        <w:rPr>
          <w:rFonts w:ascii="Poppins" w:cs="Poppins" w:eastAsia="Poppins" w:hAnsi="Poppins"/>
          <w:color w:val="1a1a1a"/>
          <w:rtl w:val="0"/>
        </w:rPr>
        <w:t xml:space="preserve">Le paysage de la participation en Italie combine une disponibilité significative de ressources, notamment à travers le PNRR — Plan national de relance et de résilience — et l’écosystème Erasmus+, avec une fragmentation institutionnelle prononcée et une fracture de participation entre zones rurales et urbaines particulièrement aiguë dans le sud de l’Italie et en Sicile. Le Consiglio Nazionale dei Giovani, établi par la Loi 145/2018, conseille le gouvernement national et fournit un canal institutionnel formel pour la voix des jeunes au plus haut niveau. La Stratégie nationale pour les zones intérieures représente le cadre politique le plus significatif traitant spécifiquement des territoires ruraux et marginalisés, bien que sa dimension d’engagement des jeunes demeure sous-développée par rapport à ses dimensions économiques et infrastructurelles. Le taux de chômage des jeunes en Sicile, de cinquante-trois virgule six pour cent, constitue le contexte structurel dans lequel toute programmation de participation doit être interprétée : lorsque l’exclusion économique est aussi sévère, l’engagement civique entre directement en concurrence avec la survie économique comme priorité.</w:t>
      </w:r>
    </w:p>
    <w:p w:rsidR="00000000" w:rsidDel="00000000" w:rsidP="00000000" w:rsidRDefault="00000000" w:rsidRPr="00000000" w14:paraId="000000B6">
      <w:pPr>
        <w:spacing w:after="100" w:before="60" w:lineRule="auto"/>
        <w:jc w:val="both"/>
        <w:rPr>
          <w:rFonts w:ascii="Poppins" w:cs="Poppins" w:eastAsia="Poppins" w:hAnsi="Poppins"/>
          <w:b w:val="1"/>
          <w:bCs w:val="1"/>
          <w:i w:val="1"/>
          <w:iCs w:val="1"/>
          <w:color w:val="1a1a1a"/>
          <w:sz w:val="24"/>
          <w:szCs w:val="24"/>
        </w:rPr>
      </w:pPr>
      <w:r w:rsidDel="00000000" w:rsidR="00000000" w:rsidRPr="00000000">
        <w:rPr>
          <w:rFonts w:ascii="Poppins" w:cs="Poppins" w:eastAsia="Poppins" w:hAnsi="Poppins"/>
          <w:b w:val="1"/>
          <w:bCs w:val="1"/>
          <w:i w:val="1"/>
          <w:iCs w:val="1"/>
          <w:color w:val="1a1a1a"/>
          <w:sz w:val="24"/>
          <w:szCs w:val="24"/>
          <w:rtl w:val="0"/>
        </w:rPr>
        <w:t xml:space="preserve">Bonnes pratiques : YEPP, A Rocca et les limites du financement</w:t>
      </w:r>
    </w:p>
    <w:p w:rsidR="00000000" w:rsidDel="00000000" w:rsidP="00000000" w:rsidRDefault="00000000" w:rsidRPr="00000000" w14:paraId="000000B7">
      <w:pPr>
        <w:spacing w:after="100" w:before="60" w:lineRule="auto"/>
        <w:jc w:val="both"/>
        <w:rPr>
          <w:rFonts w:ascii="Poppins" w:cs="Poppins" w:eastAsia="Poppins" w:hAnsi="Poppins"/>
          <w:color w:val="1a1a1a"/>
        </w:rPr>
      </w:pPr>
      <w:r w:rsidDel="00000000" w:rsidR="00000000" w:rsidRPr="00000000">
        <w:rPr>
          <w:rFonts w:ascii="Poppins" w:cs="Poppins" w:eastAsia="Poppins" w:hAnsi="Poppins"/>
          <w:color w:val="1a1a1a"/>
          <w:rtl w:val="0"/>
        </w:rPr>
        <w:t xml:space="preserve">Les bonnes pratiques documentées dans le rapport italien de la Tâche 2.1 sont analytiquement significatives pour le processus de conception EMPOWER+. YEPP Italia, le Youth Empowerment Partnership Programme, opère dans plus de cinquante municipalités rurales par l’intermédiaire de Groupes de soutien locaux qui combinent une véritable appropriation par les jeunes, une autorité budgétaire dédiée et un investissement relationnel à long terme dans un modèle soutenu à travers plusieurs cycles de projet. Son efficacité ne découle pas du niveau de financement disponible, mais de la combinaison de trois caractéristiques : les délégués jeunes contrôlent de réelles ressources ; le format du Groupe de soutien local construit dans le temps des relations durables entre les jeunes et les acteurs institutionnels ; et la méthodologie traite explicitement les déficits de confiance et de compétences qui empêchent les jeunes ruraux marginalisés de s’engager dans des processus formels. Le pôle d’internationalisation Erasmus+ et ESC développé par A Rocca depuis quinze ans à Barcellona Pozzo di Gotto représente un modèle d’engagement institutionnel durable en faveur de la mobilité internationale des jeunes dans un contexte rural d’Europe du Sud. Resto al Sud, le dispositif national de subventions, a touché plus de trois mille jeunes entrepreneurs siciliens et offre un modèle de financement public dédié à l’autonomisation économique des jeunes.</w:t>
      </w:r>
    </w:p>
    <w:p w:rsidR="00000000" w:rsidDel="00000000" w:rsidP="00000000" w:rsidRDefault="00000000" w:rsidRPr="00000000" w14:paraId="000000B8">
      <w:pPr>
        <w:spacing w:after="100" w:before="60" w:lineRule="auto"/>
        <w:jc w:val="both"/>
        <w:rPr>
          <w:rFonts w:ascii="Poppins" w:cs="Poppins" w:eastAsia="Poppins" w:hAnsi="Poppins"/>
          <w:b w:val="1"/>
          <w:bCs w:val="1"/>
          <w:i w:val="1"/>
          <w:iCs w:val="1"/>
          <w:color w:val="1a1a1a"/>
          <w:sz w:val="24"/>
          <w:szCs w:val="24"/>
        </w:rPr>
      </w:pPr>
      <w:r w:rsidDel="00000000" w:rsidR="00000000" w:rsidRPr="00000000">
        <w:rPr>
          <w:rFonts w:ascii="Poppins" w:cs="Poppins" w:eastAsia="Poppins" w:hAnsi="Poppins"/>
          <w:b w:val="1"/>
          <w:bCs w:val="1"/>
          <w:i w:val="1"/>
          <w:iCs w:val="1"/>
          <w:color w:val="1a1a1a"/>
          <w:sz w:val="24"/>
          <w:szCs w:val="24"/>
          <w:rtl w:val="0"/>
        </w:rPr>
        <w:t xml:space="preserve">Lacunes et fracture rural-urbain</w:t>
      </w:r>
    </w:p>
    <w:p w:rsidR="00000000" w:rsidDel="00000000" w:rsidP="00000000" w:rsidRDefault="00000000" w:rsidRPr="00000000" w14:paraId="000000B9">
      <w:pPr>
        <w:spacing w:after="100" w:before="60" w:lineRule="auto"/>
        <w:jc w:val="both"/>
        <w:rPr>
          <w:rFonts w:ascii="Poppins" w:cs="Poppins" w:eastAsia="Poppins" w:hAnsi="Poppins"/>
          <w:color w:val="1a1a1a"/>
        </w:rPr>
      </w:pPr>
      <w:r w:rsidDel="00000000" w:rsidR="00000000" w:rsidRPr="00000000">
        <w:rPr>
          <w:rFonts w:ascii="Poppins" w:cs="Poppins" w:eastAsia="Poppins" w:hAnsi="Poppins"/>
          <w:color w:val="1a1a1a"/>
          <w:rtl w:val="0"/>
        </w:rPr>
        <w:t xml:space="preserve">Les principales lacunes identifiées dans le rapport italien sont la fragmentation institutionnelle, l’absence d’une stratégie nationale unifiée pour la jeunesse qui coordonnerait les nombreux programmes et flux de financement qui se chevauchent, et la faible mise en œuvre des cadres régionaux de participation des jeunes dans les municipalités rurales. Les structures de participation dans les zones rurales et intérieures restent principalement fondées sur des projets, sans mandat institutionnel garantissant leur continuité entre les cycles de financement. La fatigue de consultation documentée chez les jeunes Italiens, c’est-à-dire le sentiment que les processus de participation sont consultatifs sans conséquence, reflète les conclusions des pays partenaires d’Afrique subsaharienne et renforce la conclusion transversale selon laquelle passer de la consultation à la codécision constitue le défi central de conception auquel sont confrontés tous les contextes partenaires d’EMPOWER+.</w:t>
      </w:r>
    </w:p>
    <w:p w:rsidR="00000000" w:rsidDel="00000000" w:rsidP="00000000" w:rsidRDefault="00000000" w:rsidRPr="00000000" w14:paraId="000000BA">
      <w:pPr>
        <w:spacing w:after="100" w:before="60" w:lineRule="auto"/>
        <w:jc w:val="both"/>
        <w:rPr>
          <w:rFonts w:ascii="Poppins" w:cs="Poppins" w:eastAsia="Poppins" w:hAnsi="Poppins"/>
          <w:b w:val="1"/>
          <w:bCs w:val="1"/>
          <w:i w:val="1"/>
          <w:iCs w:val="1"/>
          <w:color w:val="1a1a1a"/>
          <w:sz w:val="24"/>
          <w:szCs w:val="24"/>
        </w:rPr>
      </w:pPr>
      <w:r w:rsidDel="00000000" w:rsidR="00000000" w:rsidRPr="00000000">
        <w:rPr>
          <w:rFonts w:ascii="Poppins" w:cs="Poppins" w:eastAsia="Poppins" w:hAnsi="Poppins"/>
          <w:b w:val="1"/>
          <w:bCs w:val="1"/>
          <w:i w:val="1"/>
          <w:iCs w:val="1"/>
          <w:color w:val="1a1a1a"/>
          <w:sz w:val="24"/>
          <w:szCs w:val="24"/>
          <w:rtl w:val="0"/>
        </w:rPr>
        <w:t xml:space="preserve">Leçon de transférabilité</w:t>
      </w:r>
    </w:p>
    <w:p w:rsidR="00000000" w:rsidDel="00000000" w:rsidP="00000000" w:rsidRDefault="00000000" w:rsidRPr="00000000" w14:paraId="000000BB">
      <w:pPr>
        <w:pStyle w:val="Heading3"/>
        <w:keepNext w:val="1"/>
        <w:spacing w:after="60" w:before="200" w:lineRule="auto"/>
        <w:rPr>
          <w:rFonts w:ascii="Poppins" w:cs="Poppins" w:eastAsia="Poppins" w:hAnsi="Poppins"/>
          <w:b w:val="0"/>
          <w:bCs w:val="0"/>
          <w:color w:val="1a1a1a"/>
          <w:sz w:val="22"/>
          <w:szCs w:val="22"/>
        </w:rPr>
      </w:pPr>
      <w:bookmarkStart w:colFirst="0" w:colLast="0" w:name="_heading=h.w6d7gkc751yk" w:id="14"/>
      <w:bookmarkEnd w:id="14"/>
      <w:r w:rsidDel="00000000" w:rsidR="00000000" w:rsidRPr="00000000">
        <w:rPr>
          <w:rFonts w:ascii="Poppins" w:cs="Poppins" w:eastAsia="Poppins" w:hAnsi="Poppins"/>
          <w:b w:val="0"/>
          <w:bCs w:val="0"/>
          <w:color w:val="1a1a1a"/>
          <w:sz w:val="22"/>
          <w:szCs w:val="22"/>
          <w:rtl w:val="0"/>
        </w:rPr>
        <w:t xml:space="preserve">Des niveaux élevés de financement sont insuffisants sans coordination institutionnelle et sans mandat stable pour la codécision des jeunes. Les modèles italiens les plus efficaces réussissent parce qu’ils combinent des ressources avec une véritable appropriation par les jeunes et un investissement relationnel soutenu, et non avec l’argent seul.</w:t>
      </w:r>
    </w:p>
    <w:p w:rsidR="00000000" w:rsidDel="00000000" w:rsidP="00000000" w:rsidRDefault="00000000" w:rsidRPr="00000000" w14:paraId="000000BC">
      <w:pPr>
        <w:pStyle w:val="Heading3"/>
        <w:keepNext w:val="1"/>
        <w:spacing w:after="60" w:before="200" w:lineRule="auto"/>
        <w:rPr>
          <w:rFonts w:ascii="Poppins" w:cs="Poppins" w:eastAsia="Poppins" w:hAnsi="Poppins"/>
          <w:color w:val="2f6b3a"/>
        </w:rPr>
      </w:pPr>
      <w:r w:rsidDel="00000000" w:rsidR="00000000" w:rsidRPr="00000000">
        <w:rPr>
          <w:rFonts w:ascii="Poppins" w:cs="Poppins" w:eastAsia="Poppins" w:hAnsi="Poppins"/>
          <w:color w:val="2f6b3a"/>
          <w:rtl w:val="0"/>
        </w:rPr>
        <w:t xml:space="preserve">2.2.3 Romania</w:t>
      </w:r>
    </w:p>
    <w:p w:rsidR="00000000" w:rsidDel="00000000" w:rsidP="00000000" w:rsidRDefault="00000000" w:rsidRPr="00000000" w14:paraId="000000BD">
      <w:pPr>
        <w:spacing w:after="100" w:before="60" w:lineRule="auto"/>
        <w:jc w:val="both"/>
        <w:rPr>
          <w:rFonts w:ascii="Poppins" w:cs="Poppins" w:eastAsia="Poppins" w:hAnsi="Poppins"/>
          <w:b w:val="1"/>
          <w:bCs w:val="1"/>
          <w:i w:val="1"/>
          <w:iCs w:val="1"/>
          <w:color w:val="1a1a1a"/>
          <w:sz w:val="24"/>
          <w:szCs w:val="24"/>
        </w:rPr>
      </w:pPr>
      <w:r w:rsidDel="00000000" w:rsidR="00000000" w:rsidRPr="00000000">
        <w:rPr>
          <w:rFonts w:ascii="Poppins" w:cs="Poppins" w:eastAsia="Poppins" w:hAnsi="Poppins"/>
          <w:b w:val="1"/>
          <w:bCs w:val="1"/>
          <w:i w:val="1"/>
          <w:iCs w:val="1"/>
          <w:color w:val="1a1a1a"/>
          <w:sz w:val="24"/>
          <w:szCs w:val="24"/>
          <w:rtl w:val="0"/>
        </w:rPr>
        <w:t xml:space="preserve">Territoire, contexte et parallèles structurels avec l’Afrique subsaharienne</w:t>
      </w:r>
    </w:p>
    <w:p w:rsidR="00000000" w:rsidDel="00000000" w:rsidP="00000000" w:rsidRDefault="00000000" w:rsidRPr="00000000" w14:paraId="000000BE">
      <w:pPr>
        <w:spacing w:after="100" w:before="60" w:lineRule="auto"/>
        <w:jc w:val="both"/>
        <w:rPr>
          <w:rFonts w:ascii="Poppins" w:cs="Poppins" w:eastAsia="Poppins" w:hAnsi="Poppins"/>
          <w:color w:val="1a1a1a"/>
        </w:rPr>
      </w:pPr>
      <w:r w:rsidDel="00000000" w:rsidR="00000000" w:rsidRPr="00000000">
        <w:rPr>
          <w:rFonts w:ascii="Poppins" w:cs="Poppins" w:eastAsia="Poppins" w:hAnsi="Poppins"/>
          <w:color w:val="1a1a1a"/>
          <w:rtl w:val="0"/>
        </w:rPr>
        <w:t xml:space="preserve">Le rapport de la Roumanie se concentre spécifiquement sur le territoire du LAG Napoca Porolissum, une zone rurale montagneuse multi-communale du département de Cluj, caractérisée par une dispersion géographique, une connectivité de transport difficile et de fortes pressions liées à l’émigration des jeunes. Cette spécificité constitue un choix méthodologique délibéré qui reflète la logique de conception du projet : la Roumanie ne contribue pas par une vue d’ensemble nationale, mais par une étude de cas approfondie d’un contexte spécifique de gouvernance rurale, à partir duquel des leçons d’adaptation pour l’Afrique subsaharienne peuvent être tirées avec précision. Les défis géographiques du territoire, l’infrastructure de transport limitée, la population dispersée entre plusieurs petites communes et la pression de l’émigration des jeunes vers les centres urbains créent un ensemble de conditions qui partagent des caractéristiques structurelles importantes avec les contextes de gouvernance rurale en Afrique subsaharienne, même lorsque les niveaux de revenu et les environnements institutionnels diffèrent fondamentalement.</w:t>
      </w:r>
    </w:p>
    <w:p w:rsidR="00000000" w:rsidDel="00000000" w:rsidP="00000000" w:rsidRDefault="00000000" w:rsidRPr="00000000" w14:paraId="000000BF">
      <w:pPr>
        <w:spacing w:after="100" w:before="60" w:lineRule="auto"/>
        <w:jc w:val="both"/>
        <w:rPr>
          <w:rFonts w:ascii="Poppins" w:cs="Poppins" w:eastAsia="Poppins" w:hAnsi="Poppins"/>
          <w:b w:val="1"/>
          <w:bCs w:val="1"/>
          <w:i w:val="1"/>
          <w:iCs w:val="1"/>
          <w:color w:val="1a1a1a"/>
          <w:sz w:val="24"/>
          <w:szCs w:val="24"/>
        </w:rPr>
      </w:pPr>
      <w:r w:rsidDel="00000000" w:rsidR="00000000" w:rsidRPr="00000000">
        <w:rPr>
          <w:rFonts w:ascii="Poppins" w:cs="Poppins" w:eastAsia="Poppins" w:hAnsi="Poppins"/>
          <w:b w:val="1"/>
          <w:bCs w:val="1"/>
          <w:i w:val="1"/>
          <w:iCs w:val="1"/>
          <w:color w:val="1a1a1a"/>
          <w:sz w:val="24"/>
          <w:szCs w:val="24"/>
          <w:rtl w:val="0"/>
        </w:rPr>
        <w:t xml:space="preserve">Le modèle RYP basé sur le LAG : méthodologie et données probantes</w:t>
      </w:r>
    </w:p>
    <w:p w:rsidR="00000000" w:rsidDel="00000000" w:rsidP="00000000" w:rsidRDefault="00000000" w:rsidRPr="00000000" w14:paraId="000000C0">
      <w:pPr>
        <w:spacing w:after="100" w:before="60" w:lineRule="auto"/>
        <w:jc w:val="both"/>
        <w:rPr>
          <w:rFonts w:ascii="Poppins" w:cs="Poppins" w:eastAsia="Poppins" w:hAnsi="Poppins"/>
          <w:color w:val="1a1a1a"/>
        </w:rPr>
      </w:pPr>
      <w:r w:rsidDel="00000000" w:rsidR="00000000" w:rsidRPr="00000000">
        <w:rPr>
          <w:rFonts w:ascii="Poppins" w:cs="Poppins" w:eastAsia="Poppins" w:hAnsi="Poppins"/>
          <w:color w:val="1a1a1a"/>
          <w:rtl w:val="0"/>
        </w:rPr>
        <w:t xml:space="preserve">L’initiative de Parlement rural des jeunes développée au sein du territoire du LAG Napoca Porolissum constitue la contribution européenne la plus directement transférable au projet EMPOWER+. Il s’agit d’un modèle de délibération structurée qui organise des délégués jeunes issus de communes rurales dispersées dans un format parlementaire, produit des propositions d’action orientées vers la communauté et liées aux processus de gouvernance du LAG, et a généré des actions communautaires documentées, notamment des campagnes environnementales, des événements culturels et un soutien à des projets locaux sur plusieurs cycles de mise en œuvre. Le guide complet de facilitation, le format de délibération et la méthodologie de suivi des actions communautaires ont été documentés et testés dans la pratique, ce qui en fait le modèle européen le plus prêt à être adapté au sein du consortium. Les ressources formelles qui soutiennent ce travail comprennent la Loi 52/2003 sur la consultation publique, la Loi sur la jeunesse 350/2006, la gouvernance LEADER à travers la structure LAG et la Stratégie nationale pour la jeunesse 2024-2027, qui traite explicitement les désavantages des jeunes ruraux d’une manière plus sensible à la dimension rurale que les instruments équivalents dans la plupart des autres pays partenaires.</w:t>
      </w:r>
    </w:p>
    <w:p w:rsidR="00000000" w:rsidDel="00000000" w:rsidP="00000000" w:rsidRDefault="00000000" w:rsidRPr="00000000" w14:paraId="000000C1">
      <w:pPr>
        <w:spacing w:after="100" w:before="60" w:lineRule="auto"/>
        <w:jc w:val="both"/>
        <w:rPr>
          <w:rFonts w:ascii="Poppins" w:cs="Poppins" w:eastAsia="Poppins" w:hAnsi="Poppins"/>
          <w:b w:val="1"/>
          <w:bCs w:val="1"/>
          <w:i w:val="1"/>
          <w:iCs w:val="1"/>
          <w:color w:val="1a1a1a"/>
          <w:sz w:val="24"/>
          <w:szCs w:val="24"/>
        </w:rPr>
      </w:pPr>
      <w:r w:rsidDel="00000000" w:rsidR="00000000" w:rsidRPr="00000000">
        <w:rPr>
          <w:rFonts w:ascii="Poppins" w:cs="Poppins" w:eastAsia="Poppins" w:hAnsi="Poppins"/>
          <w:b w:val="1"/>
          <w:bCs w:val="1"/>
          <w:i w:val="1"/>
          <w:iCs w:val="1"/>
          <w:color w:val="1a1a1a"/>
          <w:sz w:val="24"/>
          <w:szCs w:val="24"/>
          <w:rtl w:val="0"/>
        </w:rPr>
        <w:t xml:space="preserve">Lacunes clés et défis d’adaptation</w:t>
      </w:r>
    </w:p>
    <w:p w:rsidR="00000000" w:rsidDel="00000000" w:rsidP="00000000" w:rsidRDefault="00000000" w:rsidRPr="00000000" w14:paraId="000000C2">
      <w:pPr>
        <w:spacing w:after="100" w:before="60" w:lineRule="auto"/>
        <w:jc w:val="both"/>
        <w:rPr>
          <w:rFonts w:ascii="Poppins" w:cs="Poppins" w:eastAsia="Poppins" w:hAnsi="Poppins"/>
          <w:color w:val="1a1a1a"/>
        </w:rPr>
      </w:pPr>
      <w:r w:rsidDel="00000000" w:rsidR="00000000" w:rsidRPr="00000000">
        <w:rPr>
          <w:rFonts w:ascii="Poppins" w:cs="Poppins" w:eastAsia="Poppins" w:hAnsi="Poppins"/>
          <w:color w:val="1a1a1a"/>
          <w:rtl w:val="0"/>
        </w:rPr>
        <w:t xml:space="preserve">Les principales lacunes identifiées dans le rapport roumain sont la capacité limitée de médiation rurale dans les territoires montagneux dispersés, où l’absence de travailleurs de jeunesse et de facilitateurs formés dans les communes les plus éloignées crée un obstacle persistant pour atteindre les jeunes les plus isolés ; les obstacles géographiques et de transport qui exigent des dispositions explicites en matière de ressources pour le soutien des participants ; et l’incertitude liée à la transition institutionnelle à la suite de la création des Directions départementales de la jeunesse et de la famille par la Décision gouvernementale 197/2022, qui a créé une certaine ambiguïté dans le paysage institutionnel départemental de la programmation jeunesse. Ces lacunes sont directement pertinentes pour la conception des RYPs en Afrique subsaharienne : elles démontrent que même la méthodologie la plus soigneusement conçue fait face à des défis de mise en œuvre enracinés dans la géographie rurale, et que les facilitateurs communautaires ne sont pas des éléments optionnels du programme, mais une infrastructure essentielle.</w:t>
      </w:r>
    </w:p>
    <w:p w:rsidR="00000000" w:rsidDel="00000000" w:rsidP="00000000" w:rsidRDefault="00000000" w:rsidRPr="00000000" w14:paraId="000000C3">
      <w:pPr>
        <w:spacing w:after="100" w:before="60" w:lineRule="auto"/>
        <w:jc w:val="both"/>
        <w:rPr>
          <w:rFonts w:ascii="Poppins" w:cs="Poppins" w:eastAsia="Poppins" w:hAnsi="Poppins"/>
          <w:b w:val="1"/>
          <w:bCs w:val="1"/>
          <w:i w:val="1"/>
          <w:iCs w:val="1"/>
          <w:color w:val="1a1a1a"/>
          <w:sz w:val="24"/>
          <w:szCs w:val="24"/>
        </w:rPr>
      </w:pPr>
      <w:r w:rsidDel="00000000" w:rsidR="00000000" w:rsidRPr="00000000">
        <w:rPr>
          <w:rFonts w:ascii="Poppins" w:cs="Poppins" w:eastAsia="Poppins" w:hAnsi="Poppins"/>
          <w:b w:val="1"/>
          <w:bCs w:val="1"/>
          <w:i w:val="1"/>
          <w:iCs w:val="1"/>
          <w:color w:val="1a1a1a"/>
          <w:sz w:val="24"/>
          <w:szCs w:val="24"/>
          <w:rtl w:val="0"/>
        </w:rPr>
        <w:t xml:space="preserve">Leçon de transférabilité</w:t>
      </w:r>
    </w:p>
    <w:p w:rsidR="00000000" w:rsidDel="00000000" w:rsidP="00000000" w:rsidRDefault="00000000" w:rsidRPr="00000000" w14:paraId="000000C4">
      <w:pPr>
        <w:spacing w:after="100" w:before="60" w:lineRule="auto"/>
        <w:jc w:val="both"/>
        <w:rPr>
          <w:rFonts w:ascii="Poppins" w:cs="Poppins" w:eastAsia="Poppins" w:hAnsi="Poppins"/>
        </w:rPr>
      </w:pPr>
      <w:r w:rsidDel="00000000" w:rsidR="00000000" w:rsidRPr="00000000">
        <w:rPr>
          <w:rFonts w:ascii="Poppins" w:cs="Poppins" w:eastAsia="Poppins" w:hAnsi="Poppins"/>
          <w:color w:val="1a1a1a"/>
          <w:rtl w:val="0"/>
        </w:rPr>
        <w:t xml:space="preserve">La méthodologie RYP basée sur le LAG est le modèle européen le plus directement applicable pour une adaptation en Afrique subsaharienne. Le format de délibération, le guide de facilitation et le lien avec l’action communautaire sont tous adaptables, mais la stratégie d’ancrage institutionnel doit être repensée pour chaque contexte d’Afrique subsaharienne, puisque l’infrastructure de gouvernance LAG n’a pas d’équivalent direct en Afrique subsaharienne.</w:t>
      </w:r>
      <w:r w:rsidDel="00000000" w:rsidR="00000000" w:rsidRPr="00000000">
        <w:rPr>
          <w:rtl w:val="0"/>
        </w:rPr>
      </w:r>
    </w:p>
    <w:p w:rsidR="00000000" w:rsidDel="00000000" w:rsidP="00000000" w:rsidRDefault="00000000" w:rsidRPr="00000000" w14:paraId="000000C5">
      <w:pPr>
        <w:rPr>
          <w:rFonts w:ascii="Poppins" w:cs="Poppins" w:eastAsia="Poppins" w:hAnsi="Poppins"/>
        </w:rPr>
      </w:pPr>
      <w:r w:rsidDel="00000000" w:rsidR="00000000" w:rsidRPr="00000000">
        <w:br w:type="page"/>
      </w:r>
      <w:r w:rsidDel="00000000" w:rsidR="00000000" w:rsidRPr="00000000">
        <w:rPr>
          <w:rtl w:val="0"/>
        </w:rPr>
      </w:r>
    </w:p>
    <w:p w:rsidR="00000000" w:rsidDel="00000000" w:rsidP="00000000" w:rsidRDefault="00000000" w:rsidRPr="00000000" w14:paraId="000000C6">
      <w:pPr>
        <w:pStyle w:val="Heading1"/>
        <w:keepNext w:val="1"/>
        <w:spacing w:after="120" w:before="360" w:lineRule="auto"/>
        <w:rPr>
          <w:rFonts w:ascii="Poppins" w:cs="Poppins" w:eastAsia="Poppins" w:hAnsi="Poppins"/>
          <w:color w:val="2f6b3a"/>
        </w:rPr>
      </w:pPr>
      <w:bookmarkStart w:colFirst="0" w:colLast="0" w:name="_heading=h.msw319uplrba" w:id="15"/>
      <w:bookmarkEnd w:id="15"/>
      <w:r w:rsidDel="00000000" w:rsidR="00000000" w:rsidRPr="00000000">
        <w:rPr>
          <w:rFonts w:ascii="Poppins" w:cs="Poppins" w:eastAsia="Poppins" w:hAnsi="Poppins"/>
          <w:color w:val="2f6b3a"/>
          <w:rtl w:val="0"/>
        </w:rPr>
        <w:t xml:space="preserve">3. Conclusions par pays de la Tâche 2.2 : outils de participation et données issues des parties prenantes</w:t>
      </w:r>
    </w:p>
    <w:p w:rsidR="00000000" w:rsidDel="00000000" w:rsidP="00000000" w:rsidRDefault="00000000" w:rsidRPr="00000000" w14:paraId="000000C7">
      <w:pPr>
        <w:spacing w:after="100" w:before="60" w:lineRule="auto"/>
        <w:jc w:val="both"/>
        <w:rPr>
          <w:rFonts w:ascii="Poppins" w:cs="Poppins" w:eastAsia="Poppins" w:hAnsi="Poppins"/>
        </w:rPr>
      </w:pPr>
      <w:r w:rsidDel="00000000" w:rsidR="00000000" w:rsidRPr="00000000">
        <w:rPr>
          <w:rFonts w:ascii="Poppins" w:cs="Poppins" w:eastAsia="Poppins" w:hAnsi="Poppins"/>
          <w:color w:val="1a1a1a"/>
          <w:rtl w:val="0"/>
        </w:rPr>
        <w:t xml:space="preserve">Cette section consolide les conclusions des sept rapports analytiques achevés dans le cadre de la Tâche 2.2. Chaque rapport cartographie les outils et documents nationaux de participation des jeunes aux politiques publiques, analyse le cadre juridique et politique avec une attention particulière portée à la pertinence rurale et aux lacunes de mise en œuvre, et synthétise les conclusions issues des groupes de discussion ou des consultations avec les parties prenantes concernant l’efficacité des outils existants. Ensemble, ces rapports déplacent l’analyse de ce qui existe sur le papier vers la manière dont les outils de participation sont vécus en pratique par les jeunes ruraux et par les parties prenantes qui interagissent avec eux.</w:t>
      </w:r>
      <w:r w:rsidDel="00000000" w:rsidR="00000000" w:rsidRPr="00000000">
        <w:rPr>
          <w:rtl w:val="0"/>
        </w:rPr>
      </w:r>
    </w:p>
    <w:p w:rsidR="00000000" w:rsidDel="00000000" w:rsidP="00000000" w:rsidRDefault="00000000" w:rsidRPr="00000000" w14:paraId="000000C8">
      <w:pPr>
        <w:pStyle w:val="Heading2"/>
        <w:keepNext w:val="1"/>
        <w:spacing w:after="80" w:before="280" w:lineRule="auto"/>
        <w:rPr>
          <w:rFonts w:ascii="Poppins" w:cs="Poppins" w:eastAsia="Poppins" w:hAnsi="Poppins"/>
          <w:color w:val="b7c3a1"/>
        </w:rPr>
      </w:pPr>
      <w:bookmarkStart w:colFirst="0" w:colLast="0" w:name="_heading=h.5wsls7wq4a2" w:id="16"/>
      <w:bookmarkEnd w:id="16"/>
      <w:r w:rsidDel="00000000" w:rsidR="00000000" w:rsidRPr="00000000">
        <w:rPr>
          <w:rFonts w:ascii="Poppins" w:cs="Poppins" w:eastAsia="Poppins" w:hAnsi="Poppins"/>
          <w:color w:val="b7c3a1"/>
          <w:rtl w:val="0"/>
        </w:rPr>
        <w:t xml:space="preserve">3.1 Pays d’Afrique subsaharienne</w:t>
      </w:r>
    </w:p>
    <w:p w:rsidR="00000000" w:rsidDel="00000000" w:rsidP="00000000" w:rsidRDefault="00000000" w:rsidRPr="00000000" w14:paraId="000000C9">
      <w:pPr>
        <w:pStyle w:val="Heading3"/>
        <w:keepNext w:val="1"/>
        <w:spacing w:after="60" w:before="200" w:lineRule="auto"/>
        <w:rPr>
          <w:rFonts w:ascii="Poppins" w:cs="Poppins" w:eastAsia="Poppins" w:hAnsi="Poppins"/>
          <w:color w:val="2f6b3a"/>
        </w:rPr>
      </w:pPr>
      <w:bookmarkStart w:colFirst="0" w:colLast="0" w:name="_heading=h.un3dtuf7h3pv" w:id="17"/>
      <w:bookmarkEnd w:id="17"/>
      <w:r w:rsidDel="00000000" w:rsidR="00000000" w:rsidRPr="00000000">
        <w:rPr>
          <w:rFonts w:ascii="Poppins" w:cs="Poppins" w:eastAsia="Poppins" w:hAnsi="Poppins"/>
          <w:color w:val="2f6b3a"/>
          <w:rtl w:val="0"/>
        </w:rPr>
        <w:t xml:space="preserve">3.1.1 Botswana</w:t>
      </w:r>
    </w:p>
    <w:p w:rsidR="00000000" w:rsidDel="00000000" w:rsidP="00000000" w:rsidRDefault="00000000" w:rsidRPr="00000000" w14:paraId="000000CA">
      <w:pPr>
        <w:spacing w:after="100" w:before="60" w:lineRule="auto"/>
        <w:jc w:val="both"/>
        <w:rPr>
          <w:rFonts w:ascii="Poppins" w:cs="Poppins" w:eastAsia="Poppins" w:hAnsi="Poppins"/>
          <w:b w:val="1"/>
          <w:bCs w:val="1"/>
          <w:i w:val="1"/>
          <w:iCs w:val="1"/>
          <w:color w:val="1a1a1a"/>
          <w:sz w:val="24"/>
          <w:szCs w:val="24"/>
        </w:rPr>
      </w:pPr>
      <w:r w:rsidDel="00000000" w:rsidR="00000000" w:rsidRPr="00000000">
        <w:rPr>
          <w:rFonts w:ascii="Poppins" w:cs="Poppins" w:eastAsia="Poppins" w:hAnsi="Poppins"/>
          <w:b w:val="1"/>
          <w:bCs w:val="1"/>
          <w:i w:val="1"/>
          <w:iCs w:val="1"/>
          <w:color w:val="1a1a1a"/>
          <w:sz w:val="24"/>
          <w:szCs w:val="24"/>
          <w:rtl w:val="0"/>
        </w:rPr>
        <w:t xml:space="preserve">Cartographie des outils : catégories et couverture</w:t>
      </w:r>
    </w:p>
    <w:p w:rsidR="00000000" w:rsidDel="00000000" w:rsidP="00000000" w:rsidRDefault="00000000" w:rsidRPr="00000000" w14:paraId="000000CB">
      <w:pPr>
        <w:spacing w:after="100" w:before="60" w:lineRule="auto"/>
        <w:jc w:val="both"/>
        <w:rPr>
          <w:rFonts w:ascii="Poppins" w:cs="Poppins" w:eastAsia="Poppins" w:hAnsi="Poppins"/>
          <w:color w:val="1a1a1a"/>
        </w:rPr>
      </w:pPr>
      <w:r w:rsidDel="00000000" w:rsidR="00000000" w:rsidRPr="00000000">
        <w:rPr>
          <w:rFonts w:ascii="Poppins" w:cs="Poppins" w:eastAsia="Poppins" w:hAnsi="Poppins"/>
          <w:color w:val="1a1a1a"/>
          <w:rtl w:val="0"/>
        </w:rPr>
        <w:t xml:space="preserve">TLe rapport de la Tâche 2.2 consacré au Botswana est le plus complet sur le plan méthodologique dans le groupe Afrique subsaharienne, s’appuyant sur deux groupes de discussion multi-acteurs structurés, conçus pour saisir diverses perspectives institutionnelles : le premier à Mogobane, réunissant un membre du Parlement, des conseillers, la direction du Comité de développement villageois, un formateur de jeunes et un représentant de Youth Unlimited ; le second à Tlokweng, réunissant des responsables traditionnels et communautaires, l’administration du district, des agents de programmes jeunesse, des représentants du Parlement des jeunes et un responsable du Nkaikela Youth Group. Cette conception de groupes de discussion à perspectives multiples constitue une force méthodologique, car elle permet à l’analyse de saisir, dans le même exercice, à la fois les perspectives institutionnelles formelles et les expériences communautaires de l’efficacité des outils de participation.</w:t>
      </w:r>
    </w:p>
    <w:p w:rsidR="00000000" w:rsidDel="00000000" w:rsidP="00000000" w:rsidRDefault="00000000" w:rsidRPr="00000000" w14:paraId="000000CC">
      <w:pPr>
        <w:spacing w:after="100" w:before="60" w:lineRule="auto"/>
        <w:jc w:val="both"/>
        <w:rPr>
          <w:rFonts w:ascii="Poppins" w:cs="Poppins" w:eastAsia="Poppins" w:hAnsi="Poppins"/>
          <w:color w:val="1a1a1a"/>
        </w:rPr>
      </w:pPr>
      <w:r w:rsidDel="00000000" w:rsidR="00000000" w:rsidRPr="00000000">
        <w:rPr>
          <w:rFonts w:ascii="Poppins" w:cs="Poppins" w:eastAsia="Poppins" w:hAnsi="Poppins"/>
          <w:color w:val="1a1a1a"/>
          <w:rtl w:val="0"/>
        </w:rPr>
        <w:t xml:space="preserve">La cartographie des outils identifie cinq catégories. Les documents nationaux de politique publique, notamment la Politique nationale révisée de la jeunesse de 2010 et la Charte africaine de la jeunesse, établissent le cadre normatif et la base des droits pour la participation. Les outils nationaux de programme, notamment le Fonds de développement de la jeunesse et les structures des agents de jeunesse au niveau des districts, fournissent les mécanismes administratifs et financiers de mise en œuvre qui relient les engagements politiques à l’action communautaire. Les outils de gouvernance locale, notamment les Comités de développement villageois, les réunions de ward et les interfaces avec les conseillers, offrent les espaces de participation infranationaux les plus proches des communautés rurales et les plus accessibles en termes de distance de déplacement. Les espaces de gouvernance coutumière, le Kgotla et les salles communautaires, fournissent des espaces de délibération culturellement ancrés dotés de la plus forte légitimité communautaire. Les canaux de la société civile et numériques, notamment les organisations nationales, les plateformes de médias sociaux et la radio communautaire, fournissent une infrastructure supplémentaire de communication et de mobilisation. Les standards internationaux, en particulier le Commonwealth Parliamentary Association Youth Parliament Toolkit et l’International IDEA Youth Parliamentary Academy Toolkit, fournissent des repères de conception pour des formats structurés de simulation parlementaire pertinents pour la conception des RYPs.</w:t>
      </w:r>
    </w:p>
    <w:p w:rsidR="00000000" w:rsidDel="00000000" w:rsidP="00000000" w:rsidRDefault="00000000" w:rsidRPr="00000000" w14:paraId="000000CD">
      <w:pPr>
        <w:spacing w:after="100" w:before="60" w:lineRule="auto"/>
        <w:jc w:val="both"/>
        <w:rPr>
          <w:rFonts w:ascii="Poppins" w:cs="Poppins" w:eastAsia="Poppins" w:hAnsi="Poppins"/>
          <w:b w:val="1"/>
          <w:bCs w:val="1"/>
          <w:i w:val="1"/>
          <w:iCs w:val="1"/>
          <w:color w:val="1a1a1a"/>
          <w:sz w:val="24"/>
          <w:szCs w:val="24"/>
        </w:rPr>
      </w:pPr>
      <w:r w:rsidDel="00000000" w:rsidR="00000000" w:rsidRPr="00000000">
        <w:rPr>
          <w:rFonts w:ascii="Poppins" w:cs="Poppins" w:eastAsia="Poppins" w:hAnsi="Poppins"/>
          <w:b w:val="1"/>
          <w:bCs w:val="1"/>
          <w:i w:val="1"/>
          <w:iCs w:val="1"/>
          <w:color w:val="1a1a1a"/>
          <w:sz w:val="24"/>
          <w:szCs w:val="24"/>
          <w:rtl w:val="0"/>
        </w:rPr>
        <w:t xml:space="preserve">Données des groupes de discussion : sensibilisation, accessibilité et efficacité</w:t>
      </w:r>
    </w:p>
    <w:p w:rsidR="00000000" w:rsidDel="00000000" w:rsidP="00000000" w:rsidRDefault="00000000" w:rsidRPr="00000000" w14:paraId="000000CE">
      <w:pPr>
        <w:spacing w:after="100" w:before="60" w:lineRule="auto"/>
        <w:jc w:val="both"/>
        <w:rPr>
          <w:rFonts w:ascii="Poppins" w:cs="Poppins" w:eastAsia="Poppins" w:hAnsi="Poppins"/>
          <w:color w:val="1a1a1a"/>
        </w:rPr>
      </w:pPr>
      <w:r w:rsidDel="00000000" w:rsidR="00000000" w:rsidRPr="00000000">
        <w:rPr>
          <w:rFonts w:ascii="Poppins" w:cs="Poppins" w:eastAsia="Poppins" w:hAnsi="Poppins"/>
          <w:color w:val="1a1a1a"/>
          <w:rtl w:val="0"/>
        </w:rPr>
        <w:t xml:space="preserve">Les conclusions des groupes de discussion de Mogobane et de Tlokweng révèlent des schémas cohérents concernant la sensibilisation, l’accessibilité et l’efficacité des outils cartographiés. La sensibilisation aux outils formels de participation est inégale, avec des lacunes importantes parmi les jeunes des communautés les plus reculées, qui ne disposent pas d’un accès à des canaux d’information réguliers. De nombreux jeunes ruraux ne connaissent pas le YDF, le Parlement des jeunes, ni même les mécanismes formels de consultation rattachés aux VDCs. L’accessibilité est contrainte par une combinaison de programmation en semaine, qui entre en conflit avec les activités de subsistance, de distance culturelle entre les espaces et procédures formels et les normes de communication quotidiennes des jeunes ruraux, ainsi que d’inégalité numérique qui limite la portée des plateformes de participation en ligne aux jeunes disposant d’une connectivité adéquate. L’efficacité, la dimension qui façonne le plus directement la poursuite de l’engagement des jeunes, est évaluée par les participants principalement à travers le prisme de l’influence traçable : la participation produit-elle un résultat visible ? La réponse cohérente dans les deux groupes de discussion est que non, ou du moins que les participants ne peuvent pas citer d’exemples documentés où cela aurait été le cas. L’absence d’influence traçable constitue le principal mécanisme de désengagement.</w:t>
      </w:r>
    </w:p>
    <w:p w:rsidR="00000000" w:rsidDel="00000000" w:rsidP="00000000" w:rsidRDefault="00000000" w:rsidRPr="00000000" w14:paraId="000000CF">
      <w:pPr>
        <w:spacing w:after="100" w:before="60" w:lineRule="auto"/>
        <w:jc w:val="both"/>
        <w:rPr>
          <w:rFonts w:ascii="Poppins" w:cs="Poppins" w:eastAsia="Poppins" w:hAnsi="Poppins"/>
          <w:b w:val="1"/>
          <w:bCs w:val="1"/>
          <w:i w:val="1"/>
          <w:iCs w:val="1"/>
          <w:color w:val="1a1a1a"/>
          <w:sz w:val="24"/>
          <w:szCs w:val="24"/>
        </w:rPr>
      </w:pPr>
      <w:r w:rsidDel="00000000" w:rsidR="00000000" w:rsidRPr="00000000">
        <w:rPr>
          <w:rFonts w:ascii="Poppins" w:cs="Poppins" w:eastAsia="Poppins" w:hAnsi="Poppins"/>
          <w:b w:val="1"/>
          <w:bCs w:val="1"/>
          <w:i w:val="1"/>
          <w:iCs w:val="1"/>
          <w:color w:val="1a1a1a"/>
          <w:sz w:val="24"/>
          <w:szCs w:val="24"/>
          <w:rtl w:val="0"/>
        </w:rPr>
        <w:t xml:space="preserve">Recommandations issues des données</w:t>
      </w:r>
    </w:p>
    <w:p w:rsidR="00000000" w:rsidDel="00000000" w:rsidP="00000000" w:rsidRDefault="00000000" w:rsidRPr="00000000" w14:paraId="000000D0">
      <w:pPr>
        <w:spacing w:after="100" w:before="60" w:lineRule="auto"/>
        <w:jc w:val="both"/>
        <w:rPr>
          <w:rFonts w:ascii="Poppins" w:cs="Poppins" w:eastAsia="Poppins" w:hAnsi="Poppins"/>
          <w:color w:val="1a1a1a"/>
        </w:rPr>
      </w:pPr>
      <w:r w:rsidDel="00000000" w:rsidR="00000000" w:rsidRPr="00000000">
        <w:rPr>
          <w:rFonts w:ascii="Poppins" w:cs="Poppins" w:eastAsia="Poppins" w:hAnsi="Poppins"/>
          <w:color w:val="1a1a1a"/>
          <w:rtl w:val="0"/>
        </w:rPr>
        <w:t xml:space="preserve">Le rapport de la Tâche 2.2 se conclut par quatre recommandations fondées sur les données pour le contexte du Botswana. Premièrement, les pratiques de réponse institutionnelle doivent être renforcées : les autorités qui interagissent avec les jeunes à travers le Kgotla, les VDCs et les processus des conseillers devraient être tenues de fournir un retour d’information, dans un délai défini, sur ce qu’il est advenu des contributions des jeunes. Deuxièmement, l’appropriation des processus politiques par les jeunes devrait être accrue par le développement de mécanismes structurés de définition de l’agenda conduits par les jeunes, permettant aux jeunes ruraux de déterminer les sujets des réunions de participation plutôt que de répondre à des agendas définis institutionnellement. Troisièmement, les formats de participation devraient être diversifiés au-delà des réunions formelles afin d’inclure des dialogues à la radio communautaire, des discussions facilitées par les pairs et des plateformes numériques accessibles avec une faible bande passante. Quatrièmement, la confiance civique devrait être construite grâce à des parcours structurés de leadership créant des rôles reconnus pour les jeunes dans la gouvernance communautaire avant de leur demander de prendre la parole dans des assemblées formelles dominées par les anciens.</w:t>
      </w:r>
    </w:p>
    <w:p w:rsidR="00000000" w:rsidDel="00000000" w:rsidP="00000000" w:rsidRDefault="00000000" w:rsidRPr="00000000" w14:paraId="000000D1">
      <w:pPr>
        <w:pStyle w:val="Heading3"/>
        <w:keepNext w:val="1"/>
        <w:spacing w:after="60" w:before="200" w:lineRule="auto"/>
        <w:rPr>
          <w:rFonts w:ascii="Poppins" w:cs="Poppins" w:eastAsia="Poppins" w:hAnsi="Poppins"/>
          <w:color w:val="2f6b3a"/>
        </w:rPr>
      </w:pPr>
      <w:bookmarkStart w:colFirst="0" w:colLast="0" w:name="_heading=h.hde4t0ljrzya" w:id="18"/>
      <w:bookmarkEnd w:id="18"/>
      <w:r w:rsidDel="00000000" w:rsidR="00000000" w:rsidRPr="00000000">
        <w:rPr>
          <w:rFonts w:ascii="Poppins" w:cs="Poppins" w:eastAsia="Poppins" w:hAnsi="Poppins"/>
          <w:color w:val="2f6b3a"/>
          <w:rtl w:val="0"/>
        </w:rPr>
        <w:t xml:space="preserve">3.1.2 Madagascar</w:t>
      </w:r>
    </w:p>
    <w:p w:rsidR="00000000" w:rsidDel="00000000" w:rsidP="00000000" w:rsidRDefault="00000000" w:rsidRPr="00000000" w14:paraId="000000D2">
      <w:pPr>
        <w:jc w:val="both"/>
        <w:rPr>
          <w:rFonts w:ascii="Poppins" w:cs="Poppins" w:eastAsia="Poppins" w:hAnsi="Poppins"/>
          <w:b w:val="1"/>
          <w:bCs w:val="1"/>
        </w:rPr>
      </w:pPr>
      <w:r w:rsidDel="00000000" w:rsidR="00000000" w:rsidRPr="00000000">
        <w:rPr>
          <w:rFonts w:ascii="Poppins" w:cs="Poppins" w:eastAsia="Poppins" w:hAnsi="Poppins"/>
          <w:b w:val="1"/>
          <w:bCs w:val="1"/>
          <w:rtl w:val="0"/>
        </w:rPr>
        <w:t xml:space="preserve">Cartographie des outils et approche méthodologique</w:t>
      </w:r>
    </w:p>
    <w:p w:rsidR="00000000" w:rsidDel="00000000" w:rsidP="00000000" w:rsidRDefault="00000000" w:rsidRPr="00000000" w14:paraId="000000D3">
      <w:pPr>
        <w:jc w:val="both"/>
        <w:rPr>
          <w:rFonts w:ascii="Poppins" w:cs="Poppins" w:eastAsia="Poppins" w:hAnsi="Poppins"/>
        </w:rPr>
      </w:pPr>
      <w:r w:rsidDel="00000000" w:rsidR="00000000" w:rsidRPr="00000000">
        <w:rPr>
          <w:rFonts w:ascii="Poppins" w:cs="Poppins" w:eastAsia="Poppins" w:hAnsi="Poppins"/>
          <w:rtl w:val="0"/>
        </w:rPr>
        <w:t xml:space="preserve">Le rapport de la Tâche 2.2 consacré à Madagascar s’appuie sur une série de groupes de discussion menés avec des jeunes vivant dans des zones rurales de districts sélectionnés de Madagascar, complétant l’enquête auprès des parties prenantes et les entretiens déjà documentés dans les conclusions de la Tâche 2.1. Chaque groupe de discussion comprenait entre huit et douze participants âgés de quinze à trente ans, avec des efforts délibérés pour assurer la diversité en termes de genre, de niveau d’éducation et de statut professionnel. Les sessions ont été animées par des modérateurs formés, à l’aide d’un guide de discussion structuré ainsi que de fiches d’activités interactives comprenant des notes autocollantes et des exercices de vote par points. Les données ont été collectées au moyen de notes écrites, de synthèses sur paperboard, de modèles de groupe de discussion et d’outils numériques Excel, garantissant une analyse systématique entre les sessions.</w:t>
      </w:r>
    </w:p>
    <w:p w:rsidR="00000000" w:rsidDel="00000000" w:rsidP="00000000" w:rsidRDefault="00000000" w:rsidRPr="00000000" w14:paraId="000000D4">
      <w:pPr>
        <w:jc w:val="both"/>
        <w:rPr>
          <w:rFonts w:ascii="Poppins" w:cs="Poppins" w:eastAsia="Poppins" w:hAnsi="Poppins"/>
          <w:b w:val="1"/>
          <w:bCs w:val="1"/>
        </w:rPr>
      </w:pPr>
      <w:r w:rsidDel="00000000" w:rsidR="00000000" w:rsidRPr="00000000">
        <w:rPr>
          <w:rtl w:val="0"/>
        </w:rPr>
      </w:r>
    </w:p>
    <w:p w:rsidR="00000000" w:rsidDel="00000000" w:rsidP="00000000" w:rsidRDefault="00000000" w:rsidRPr="00000000" w14:paraId="000000D5">
      <w:pPr>
        <w:jc w:val="both"/>
        <w:rPr>
          <w:rFonts w:ascii="Poppins" w:cs="Poppins" w:eastAsia="Poppins" w:hAnsi="Poppins"/>
          <w:b w:val="1"/>
          <w:bCs w:val="1"/>
        </w:rPr>
      </w:pPr>
      <w:r w:rsidDel="00000000" w:rsidR="00000000" w:rsidRPr="00000000">
        <w:rPr>
          <w:rFonts w:ascii="Poppins" w:cs="Poppins" w:eastAsia="Poppins" w:hAnsi="Poppins"/>
          <w:b w:val="1"/>
          <w:bCs w:val="1"/>
          <w:rtl w:val="0"/>
        </w:rPr>
        <w:t xml:space="preserve">Thèmes clés et conclusions</w:t>
      </w:r>
    </w:p>
    <w:p w:rsidR="00000000" w:rsidDel="00000000" w:rsidP="00000000" w:rsidRDefault="00000000" w:rsidRPr="00000000" w14:paraId="000000D6">
      <w:pPr>
        <w:jc w:val="both"/>
        <w:rPr>
          <w:rFonts w:ascii="Poppins" w:cs="Poppins" w:eastAsia="Poppins" w:hAnsi="Poppins"/>
        </w:rPr>
      </w:pPr>
      <w:r w:rsidDel="00000000" w:rsidR="00000000" w:rsidRPr="00000000">
        <w:rPr>
          <w:rFonts w:ascii="Poppins" w:cs="Poppins" w:eastAsia="Poppins" w:hAnsi="Poppins"/>
          <w:rtl w:val="0"/>
        </w:rPr>
        <w:t xml:space="preserve">Les groupes de discussion ont exploré cinq domaines thématiques interconnectés. En matière d’éducation et de développement des compétences, les participants ont constamment identifié l’accès limité à une éducation de qualité, l’absence de possibilités de formation professionnelle, les faibles niveaux de littératie numérique et le développement insuffisant des compétences en leadership comme des contraintes majeures pour leur avenir civique et économique. En matière d’emploi et d’opportunités économiques, la rareté des emplois ruraux, les contraintes financières et les obstacles importants à l’entrepreneuriat et à l’activité indépendante sont apparus comme les préoccupations dominantes, renforçant la conclusion de la Tâche 2.1 selon laquelle l’exclusion économique est un obstacle direct et structurel à la participation civique, et non simplement une condition de contexte. En matière de participation et de leadership des jeunes, les discussions ont révélé la faible implication des jeunes dans la prise de décision communautaire, la faible connaissance des programmes existants pour la jeunesse et l’absence de plateformes structurées d’engagement des jeunes comme les trois lacunes institutionnelles les plus régulièrement identifiées. En matière d’égalité de genre et de défis sociaux, les participants ont identifié les inégalités persistantes entre jeunes hommes et jeunes femmes, le mariage précoce, l’abus de substances et la migration comme des obstacles sociaux cumulatifs réduisant à la fois la capacité et l’opportunité de participation des jeunes ruraux. En matière de besoins de développement communautaire, les participants ont exprimé une demande forte et constante pour le développement des infrastructures, l’amélioration de l’accès numérique et un soutien institutionnel accru aux initiatives menées par les jeunes.</w:t>
      </w:r>
    </w:p>
    <w:p w:rsidR="00000000" w:rsidDel="00000000" w:rsidP="00000000" w:rsidRDefault="00000000" w:rsidRPr="00000000" w14:paraId="000000D7">
      <w:pPr>
        <w:jc w:val="both"/>
        <w:rPr>
          <w:rFonts w:ascii="Poppins" w:cs="Poppins" w:eastAsia="Poppins" w:hAnsi="Poppins"/>
        </w:rPr>
      </w:pPr>
      <w:r w:rsidDel="00000000" w:rsidR="00000000" w:rsidRPr="00000000">
        <w:rPr>
          <w:rtl w:val="0"/>
        </w:rPr>
      </w:r>
    </w:p>
    <w:p w:rsidR="00000000" w:rsidDel="00000000" w:rsidP="00000000" w:rsidRDefault="00000000" w:rsidRPr="00000000" w14:paraId="000000D8">
      <w:pPr>
        <w:jc w:val="both"/>
        <w:rPr>
          <w:rFonts w:ascii="Poppins" w:cs="Poppins" w:eastAsia="Poppins" w:hAnsi="Poppins"/>
          <w:b w:val="1"/>
          <w:bCs w:val="1"/>
        </w:rPr>
      </w:pPr>
      <w:r w:rsidDel="00000000" w:rsidR="00000000" w:rsidRPr="00000000">
        <w:rPr>
          <w:rFonts w:ascii="Poppins" w:cs="Poppins" w:eastAsia="Poppins" w:hAnsi="Poppins"/>
          <w:b w:val="1"/>
          <w:bCs w:val="1"/>
          <w:rtl w:val="0"/>
        </w:rPr>
        <w:t xml:space="preserve">La conclusion critique : volonté malgré l’adversité</w:t>
      </w:r>
    </w:p>
    <w:p w:rsidR="00000000" w:rsidDel="00000000" w:rsidP="00000000" w:rsidRDefault="00000000" w:rsidRPr="00000000" w14:paraId="000000D9">
      <w:pPr>
        <w:jc w:val="both"/>
        <w:rPr>
          <w:rFonts w:ascii="Poppins" w:cs="Poppins" w:eastAsia="Poppins" w:hAnsi="Poppins"/>
        </w:rPr>
      </w:pPr>
      <w:r w:rsidDel="00000000" w:rsidR="00000000" w:rsidRPr="00000000">
        <w:rPr>
          <w:rFonts w:ascii="Poppins" w:cs="Poppins" w:eastAsia="Poppins" w:hAnsi="Poppins"/>
          <w:rtl w:val="0"/>
        </w:rPr>
        <w:t xml:space="preserve">La conclusion la plus significative sur le plan analytique issue des groupes de discussion de Madagascar est l’écart entre la gravité des obstacles structurels documentés et la force de la motivation civique exprimée. Malgré les multiples défis interconnectés auxquels ils sont confrontés, notamment l’accès limité à l’éducation et à la formation, l’absence d’opportunités d’emploi et l’exclusion structurelle de la prise de décision, les participants ont exprimé une volonté forte et constante de s’engager, de contribuer à leurs communautés et de faire partie d’un changement significatif. Cette conclusion valide directement et approfondit la conclusion de la Tâche 2.1 selon laquelle le principal défi de conception à Madagascar n’est pas de générer la motivation des jeunes, mais de créer les conditions économiques, informationnelles et institutionnelles permettant à cette motivation de se traduire en engagement civique durable.</w:t>
      </w:r>
    </w:p>
    <w:p w:rsidR="00000000" w:rsidDel="00000000" w:rsidP="00000000" w:rsidRDefault="00000000" w:rsidRPr="00000000" w14:paraId="000000DA">
      <w:pPr>
        <w:jc w:val="both"/>
        <w:rPr>
          <w:rFonts w:ascii="Poppins" w:cs="Poppins" w:eastAsia="Poppins" w:hAnsi="Poppins"/>
        </w:rPr>
      </w:pPr>
      <w:r w:rsidDel="00000000" w:rsidR="00000000" w:rsidRPr="00000000">
        <w:rPr>
          <w:rtl w:val="0"/>
        </w:rPr>
      </w:r>
    </w:p>
    <w:p w:rsidR="00000000" w:rsidDel="00000000" w:rsidP="00000000" w:rsidRDefault="00000000" w:rsidRPr="00000000" w14:paraId="000000DB">
      <w:pPr>
        <w:jc w:val="both"/>
        <w:rPr>
          <w:rFonts w:ascii="Poppins" w:cs="Poppins" w:eastAsia="Poppins" w:hAnsi="Poppins"/>
          <w:b w:val="1"/>
          <w:bCs w:val="1"/>
        </w:rPr>
      </w:pPr>
      <w:r w:rsidDel="00000000" w:rsidR="00000000" w:rsidRPr="00000000">
        <w:rPr>
          <w:rFonts w:ascii="Poppins" w:cs="Poppins" w:eastAsia="Poppins" w:hAnsi="Poppins"/>
          <w:b w:val="1"/>
          <w:bCs w:val="1"/>
          <w:rtl w:val="0"/>
        </w:rPr>
        <w:t xml:space="preserve">Implications pour la conception du RYP à Madagascar</w:t>
      </w:r>
    </w:p>
    <w:p w:rsidR="00000000" w:rsidDel="00000000" w:rsidP="00000000" w:rsidRDefault="00000000" w:rsidRPr="00000000" w14:paraId="000000DC">
      <w:pPr>
        <w:jc w:val="both"/>
        <w:rPr>
          <w:rFonts w:ascii="Poppins" w:cs="Poppins" w:eastAsia="Poppins" w:hAnsi="Poppins"/>
        </w:rPr>
      </w:pPr>
      <w:r w:rsidDel="00000000" w:rsidR="00000000" w:rsidRPr="00000000">
        <w:rPr>
          <w:rFonts w:ascii="Poppins" w:cs="Poppins" w:eastAsia="Poppins" w:hAnsi="Poppins"/>
          <w:rtl w:val="0"/>
        </w:rPr>
        <w:t xml:space="preserve">Les données issues des groupes de discussion génèrent quatre priorités de conception spécifiques pour le RYP EMPOWER+ à Madagascar. Premièrement, le RYP doit traiter explicitement la dimension de l’éducation et des compétences parallèlement à la dimension de la participation : les sessions de délibération devraient intégrer des composantes de développement des compétences en leadership et de littératie numérique, en reconnaissant que la capacité civique et l’accès à l’éducation sont structurellement liés dans le contexte malgache. Deuxièmement, l’agenda du RYP doit être directement connecté aux réalités économiques des jeunes ruraux, notamment l’emploi, l’entrepreneuriat, l’accès à la terre et la formation professionnelle, plutôt que de traiter la participation civique comme séparée des préoccupations liées aux moyens de subsistance. Troisièmement, l’inclusion de genre doit être une exigence constitutionnelle de conception dès le départ : les groupes de discussion confirment que les jeunes femmes font face à des obstacles supplémentaires et cumulatifs, notamment le mariage précoce et les normes sociales, qui nécessitent des réponses structurelles de conception, et non des engagements volontaires d’inclusion. Quatrièmement, le RYP doit être conçu avec une orientation explicite vers les résultats de développement communautaire, en répondant à la forte demande des participants en matière de soutien aux infrastructures et d’appui institutionnel aux initiatives menées par les jeunes, et en veillant à ce que les délibérations du RYP produisent des actions communautaires visibles qui démontrent l’agency effective des jeunes.</w:t>
      </w:r>
    </w:p>
    <w:p w:rsidR="00000000" w:rsidDel="00000000" w:rsidP="00000000" w:rsidRDefault="00000000" w:rsidRPr="00000000" w14:paraId="000000DD">
      <w:pPr>
        <w:pStyle w:val="Heading3"/>
        <w:keepNext w:val="1"/>
        <w:spacing w:after="60" w:before="200" w:lineRule="auto"/>
        <w:rPr>
          <w:rFonts w:ascii="Poppins" w:cs="Poppins" w:eastAsia="Poppins" w:hAnsi="Poppins"/>
          <w:color w:val="2f6b3a"/>
        </w:rPr>
      </w:pPr>
      <w:bookmarkStart w:colFirst="0" w:colLast="0" w:name="_heading=h.rsm85vip7ti" w:id="19"/>
      <w:bookmarkEnd w:id="19"/>
      <w:r w:rsidDel="00000000" w:rsidR="00000000" w:rsidRPr="00000000">
        <w:rPr>
          <w:rFonts w:ascii="Poppins" w:cs="Poppins" w:eastAsia="Poppins" w:hAnsi="Poppins"/>
          <w:color w:val="2f6b3a"/>
          <w:rtl w:val="0"/>
        </w:rPr>
        <w:t xml:space="preserve">3.1.3 Maurice</w:t>
      </w:r>
    </w:p>
    <w:p w:rsidR="00000000" w:rsidDel="00000000" w:rsidP="00000000" w:rsidRDefault="00000000" w:rsidRPr="00000000" w14:paraId="000000DE">
      <w:pPr>
        <w:spacing w:after="100" w:before="60" w:lineRule="auto"/>
        <w:jc w:val="both"/>
        <w:rPr>
          <w:rFonts w:ascii="Poppins" w:cs="Poppins" w:eastAsia="Poppins" w:hAnsi="Poppins"/>
          <w:b w:val="1"/>
          <w:bCs w:val="1"/>
          <w:i w:val="1"/>
          <w:iCs w:val="1"/>
          <w:color w:val="1a1a1a"/>
          <w:sz w:val="24"/>
          <w:szCs w:val="24"/>
        </w:rPr>
      </w:pPr>
      <w:r w:rsidDel="00000000" w:rsidR="00000000" w:rsidRPr="00000000">
        <w:rPr>
          <w:rFonts w:ascii="Poppins" w:cs="Poppins" w:eastAsia="Poppins" w:hAnsi="Poppins"/>
          <w:b w:val="1"/>
          <w:bCs w:val="1"/>
          <w:i w:val="1"/>
          <w:iCs w:val="1"/>
          <w:color w:val="1a1a1a"/>
          <w:sz w:val="24"/>
          <w:szCs w:val="24"/>
          <w:rtl w:val="0"/>
        </w:rPr>
        <w:t xml:space="preserve">Cartographie des outils et analyse du cadre</w:t>
      </w:r>
    </w:p>
    <w:p w:rsidR="00000000" w:rsidDel="00000000" w:rsidP="00000000" w:rsidRDefault="00000000" w:rsidRPr="00000000" w14:paraId="000000DF">
      <w:pPr>
        <w:spacing w:after="100" w:before="60" w:lineRule="auto"/>
        <w:jc w:val="both"/>
        <w:rPr>
          <w:rFonts w:ascii="Poppins" w:cs="Poppins" w:eastAsia="Poppins" w:hAnsi="Poppins"/>
          <w:color w:val="1a1a1a"/>
        </w:rPr>
      </w:pPr>
      <w:r w:rsidDel="00000000" w:rsidR="00000000" w:rsidRPr="00000000">
        <w:rPr>
          <w:rFonts w:ascii="Poppins" w:cs="Poppins" w:eastAsia="Poppins" w:hAnsi="Poppins"/>
          <w:color w:val="1a1a1a"/>
          <w:rtl w:val="0"/>
        </w:rPr>
        <w:t xml:space="preserve">Le rapport de la Tâche 2.2 consacré à Maurice cartographie les outils de participation en cinq catégories, avec un niveau de détail institutionnel reflétant le développement relatif de l’écosystème de gouvernance des jeunes à Maurice. Les instruments nationaux de politique publique, principalement la Politique nationale de la jeunesse de 2016 et le Programme national de développement de la jeunesse, fournissent le cadre stratégique dans lequel tous les autres outils opèrent. Les structures formelles de participation, notamment les Conseils régionaux de la jeunesse dans chaque district, le Parlement biennal des jeunes de Maurice et les Centres de jeunesse de district, fournissent l’architecture institutionnelle d’un engagement structuré des jeunes. Les plateformes de consultation, notamment les Forums nationaux de la jeunesse et les mécanismes de consultation au niveau des districts, offrent des possibilités périodiques de voix collective. Les Centres de jeunesse au niveau communautaire, dotés d’un accès à Internet et d’interfaces avec les services gouvernementaux, fournissent une infrastructure physique qui réduit certains obstacles d’accès pour les jeunes ruraux. Les cadres internationaux, notamment la Charte africaine de la jeunesse et les Lignes directrices des Nations Unies pour la jeunesse, fournissent la base normative des approches de participation fondées sur les droits. Dans ce paysage cartographié, le Parlement des jeunes est identifié comme le mécanisme ayant la plus grande influence sur la décision, à la fois parce qu’il produit des soumissions formelles aux décideurs nationaux et parce que son cycle biennal crée des moments prévisibles de responsabilisation qui manquent à d’autres structures.</w:t>
      </w:r>
    </w:p>
    <w:p w:rsidR="00000000" w:rsidDel="00000000" w:rsidP="00000000" w:rsidRDefault="00000000" w:rsidRPr="00000000" w14:paraId="000000E0">
      <w:pPr>
        <w:spacing w:after="100" w:before="60" w:lineRule="auto"/>
        <w:jc w:val="both"/>
        <w:rPr>
          <w:rFonts w:ascii="Poppins" w:cs="Poppins" w:eastAsia="Poppins" w:hAnsi="Poppins"/>
          <w:b w:val="1"/>
          <w:bCs w:val="1"/>
          <w:i w:val="1"/>
          <w:iCs w:val="1"/>
          <w:color w:val="1a1a1a"/>
          <w:sz w:val="24"/>
          <w:szCs w:val="24"/>
        </w:rPr>
      </w:pPr>
      <w:r w:rsidDel="00000000" w:rsidR="00000000" w:rsidRPr="00000000">
        <w:rPr>
          <w:rFonts w:ascii="Poppins" w:cs="Poppins" w:eastAsia="Poppins" w:hAnsi="Poppins"/>
          <w:b w:val="1"/>
          <w:bCs w:val="1"/>
          <w:i w:val="1"/>
          <w:iCs w:val="1"/>
          <w:color w:val="1a1a1a"/>
          <w:sz w:val="24"/>
          <w:szCs w:val="24"/>
          <w:rtl w:val="0"/>
        </w:rPr>
        <w:t xml:space="preserve">Conclusions des groupes de discussion : la fracture d’accès urbain-rural</w:t>
      </w:r>
    </w:p>
    <w:p w:rsidR="00000000" w:rsidDel="00000000" w:rsidP="00000000" w:rsidRDefault="00000000" w:rsidRPr="00000000" w14:paraId="000000E1">
      <w:pPr>
        <w:spacing w:after="100" w:before="60" w:lineRule="auto"/>
        <w:jc w:val="both"/>
        <w:rPr>
          <w:rFonts w:ascii="Poppins" w:cs="Poppins" w:eastAsia="Poppins" w:hAnsi="Poppins"/>
          <w:color w:val="1a1a1a"/>
        </w:rPr>
      </w:pPr>
      <w:r w:rsidDel="00000000" w:rsidR="00000000" w:rsidRPr="00000000">
        <w:rPr>
          <w:rFonts w:ascii="Poppins" w:cs="Poppins" w:eastAsia="Poppins" w:hAnsi="Poppins"/>
          <w:color w:val="1a1a1a"/>
          <w:rtl w:val="0"/>
        </w:rPr>
        <w:t xml:space="preserve">Les groupes de discussion menés avec vingt-cinq jeunes âgés de seize à vingt-neuf ans issus de districts urbains et ruraux, y compris Rodrigues, révèlent une fracture d’accès urbain-rural claire et constante que l’architecture institutionnelle formelle ne traite pas pleinement. Les participants ruraux signalent la distance et les coûts de transport comme des obstacles principaux d’une nature qualitativement différente de ceux rencontrés par les participants urbains : pour les jeunes ruraux de Rodrigues en particulier, la participation aux activités sur l’île principale de Maurice nécessite des déplacements inter-îles qui sont financièrement et logistiquement prohibitifs pour la plupart des jeunes sans soutien institutionnel. La moindre connaissance des possibilités de participation est documentée comme un second obstacle important, les jeunes ruraux indiquant qu’ils apprennent l’existence des conseils de jeunes, des forums et des opportunités parlementaires par des réseaux informels plus denses dans les zones urbaines. La participation est qualifiée de « partiellement significative » : les jeunes peuvent exprimer leurs opinions et celles-ci sont formellement reçues, mais le lien causal entre les recommandations des jeunes et les résultats visibles de gouvernance est faible et rarement communiqué aux participants. Les obstacles bureaucratiques et les sujets de consultation qui ne reflètent pas les priorités rurales locales sont identifiés comme les principales sources de déconnexion entre les structures formelles de participation et les questions qui comptent le plus pour les jeunes ruraux.</w:t>
      </w:r>
    </w:p>
    <w:p w:rsidR="00000000" w:rsidDel="00000000" w:rsidP="00000000" w:rsidRDefault="00000000" w:rsidRPr="00000000" w14:paraId="000000E2">
      <w:pPr>
        <w:spacing w:after="100" w:before="60" w:lineRule="auto"/>
        <w:jc w:val="both"/>
        <w:rPr>
          <w:rFonts w:ascii="Poppins" w:cs="Poppins" w:eastAsia="Poppins" w:hAnsi="Poppins"/>
          <w:b w:val="1"/>
          <w:bCs w:val="1"/>
          <w:i w:val="1"/>
          <w:iCs w:val="1"/>
          <w:color w:val="1a1a1a"/>
          <w:sz w:val="24"/>
          <w:szCs w:val="24"/>
        </w:rPr>
      </w:pPr>
      <w:r w:rsidDel="00000000" w:rsidR="00000000" w:rsidRPr="00000000">
        <w:rPr>
          <w:rFonts w:ascii="Poppins" w:cs="Poppins" w:eastAsia="Poppins" w:hAnsi="Poppins"/>
          <w:b w:val="1"/>
          <w:bCs w:val="1"/>
          <w:i w:val="1"/>
          <w:iCs w:val="1"/>
          <w:color w:val="1a1a1a"/>
          <w:sz w:val="24"/>
          <w:szCs w:val="24"/>
          <w:rtl w:val="0"/>
        </w:rPr>
        <w:t xml:space="preserve">Recommandations pour la conception du RYP à Maurice</w:t>
      </w:r>
    </w:p>
    <w:p w:rsidR="00000000" w:rsidDel="00000000" w:rsidP="00000000" w:rsidRDefault="00000000" w:rsidRPr="00000000" w14:paraId="000000E3">
      <w:pPr>
        <w:pStyle w:val="Heading3"/>
        <w:keepNext w:val="1"/>
        <w:spacing w:after="60" w:before="200" w:lineRule="auto"/>
        <w:jc w:val="both"/>
        <w:rPr>
          <w:rFonts w:ascii="Poppins" w:cs="Poppins" w:eastAsia="Poppins" w:hAnsi="Poppins"/>
          <w:b w:val="0"/>
          <w:bCs w:val="0"/>
          <w:color w:val="1a1a1a"/>
          <w:sz w:val="22"/>
          <w:szCs w:val="22"/>
        </w:rPr>
      </w:pPr>
      <w:bookmarkStart w:colFirst="0" w:colLast="0" w:name="_heading=h.9qtt81qjz9vi" w:id="20"/>
      <w:bookmarkEnd w:id="20"/>
      <w:r w:rsidDel="00000000" w:rsidR="00000000" w:rsidRPr="00000000">
        <w:rPr>
          <w:rFonts w:ascii="Poppins" w:cs="Poppins" w:eastAsia="Poppins" w:hAnsi="Poppins"/>
          <w:b w:val="0"/>
          <w:bCs w:val="0"/>
          <w:color w:val="1a1a1a"/>
          <w:sz w:val="22"/>
          <w:szCs w:val="22"/>
          <w:rtl w:val="0"/>
        </w:rPr>
        <w:t xml:space="preserve">L’analyse de la Tâche 2.2 consacrée à Maurice génère quatre recommandations principales directement pertinentes pour la conception du RYP. Premièrement, la dépendance à l’affiliation qui exclut les jeunes ruraux indépendants des structures formelles doit être traitée par la création de voies de participation accessibles et non affiliées au niveau des districts. Deuxièmement, les obstacles géographiques et logistiques auxquels font face les jeunes de Rodrigues nécessitent des réponses de conception spécifiques, notamment des dispositions de ressources dédiées à la participation inter-îles et le développement d’activités RYP basées à Rodrigues qui ne nécessitent pas de déplacement vers l’île principale pour un engagement de routine. Troisièmement, la boucle de retour d’information entre les résultats du RYP et les réponses gouvernementales doit être formalisée et rendue publique, afin de répondre à la perception de participation « partiellement significative » qui limite actuellement l’engagement durable. Quatrièmement, l’agenda de contenu des délibérations du RYP devrait inclure explicitement les moyens de subsistance ruraux, le développement agricole, l’accès à la terre et l’emploi rural, en reliant le RYP aux questions de plus grande urgence pratique pour les jeunes ruraux plutôt qu’en reproduisant l’accent générique mis par les structures existantes sur l’éducation civique.</w:t>
      </w:r>
    </w:p>
    <w:p w:rsidR="00000000" w:rsidDel="00000000" w:rsidP="00000000" w:rsidRDefault="00000000" w:rsidRPr="00000000" w14:paraId="000000E4">
      <w:pPr>
        <w:pStyle w:val="Heading3"/>
        <w:keepNext w:val="1"/>
        <w:spacing w:after="60" w:before="200" w:lineRule="auto"/>
        <w:rPr>
          <w:rFonts w:ascii="Poppins" w:cs="Poppins" w:eastAsia="Poppins" w:hAnsi="Poppins"/>
          <w:color w:val="2f6b3a"/>
        </w:rPr>
      </w:pPr>
      <w:r w:rsidDel="00000000" w:rsidR="00000000" w:rsidRPr="00000000">
        <w:rPr>
          <w:rFonts w:ascii="Poppins" w:cs="Poppins" w:eastAsia="Poppins" w:hAnsi="Poppins"/>
          <w:color w:val="2f6b3a"/>
          <w:rtl w:val="0"/>
        </w:rPr>
        <w:t xml:space="preserve">3.1.4 Nigeria</w:t>
      </w:r>
    </w:p>
    <w:p w:rsidR="00000000" w:rsidDel="00000000" w:rsidP="00000000" w:rsidRDefault="00000000" w:rsidRPr="00000000" w14:paraId="000000E5">
      <w:pPr>
        <w:spacing w:after="100" w:before="60" w:lineRule="auto"/>
        <w:jc w:val="both"/>
        <w:rPr>
          <w:rFonts w:ascii="Poppins" w:cs="Poppins" w:eastAsia="Poppins" w:hAnsi="Poppins"/>
          <w:b w:val="1"/>
          <w:bCs w:val="1"/>
          <w:i w:val="1"/>
          <w:iCs w:val="1"/>
          <w:color w:val="1a1a1a"/>
          <w:sz w:val="24"/>
          <w:szCs w:val="24"/>
        </w:rPr>
      </w:pPr>
      <w:r w:rsidDel="00000000" w:rsidR="00000000" w:rsidRPr="00000000">
        <w:rPr>
          <w:rFonts w:ascii="Poppins" w:cs="Poppins" w:eastAsia="Poppins" w:hAnsi="Poppins"/>
          <w:b w:val="1"/>
          <w:bCs w:val="1"/>
          <w:i w:val="1"/>
          <w:iCs w:val="1"/>
          <w:color w:val="1a1a1a"/>
          <w:sz w:val="24"/>
          <w:szCs w:val="24"/>
          <w:rtl w:val="0"/>
        </w:rPr>
        <w:t xml:space="preserve">Cartographie des outils : catégories formelles, informelles et hybrids</w:t>
      </w:r>
    </w:p>
    <w:p w:rsidR="00000000" w:rsidDel="00000000" w:rsidP="00000000" w:rsidRDefault="00000000" w:rsidRPr="00000000" w14:paraId="000000E6">
      <w:pPr>
        <w:spacing w:after="100" w:before="60" w:lineRule="auto"/>
        <w:jc w:val="both"/>
        <w:rPr>
          <w:rFonts w:ascii="Poppins" w:cs="Poppins" w:eastAsia="Poppins" w:hAnsi="Poppins"/>
          <w:color w:val="1a1a1a"/>
        </w:rPr>
      </w:pPr>
      <w:r w:rsidDel="00000000" w:rsidR="00000000" w:rsidRPr="00000000">
        <w:rPr>
          <w:rFonts w:ascii="Poppins" w:cs="Poppins" w:eastAsia="Poppins" w:hAnsi="Poppins"/>
          <w:color w:val="1a1a1a"/>
          <w:rtl w:val="0"/>
        </w:rPr>
        <w:t xml:space="preserve">La contribution du Nigeria à la Tâche 2.2 cartographie les outils de participation selon trois catégories analytiquement distinctes, reflétant la structure formelle, informelle et hybride identifiée dans l’analyse de la Tâche 2.1. Les outils formels comprennent le Nigeria Youth Parliament, le réseau NYCN, les parlements de jeunes au niveau des États et les mécanismes statutaires de consultation associés à la planification du gouvernement local. L’outil formel le plus prometteur identifié est le Gombe State Youth Parliament, qui a développé un modèle testé de délibération structurée des jeunes, avec des liens formels avec la législature de l’État et un historique documenté de production de résolutions atteignant l’examen officiel. Le mouvement de redevabilité Follow the Money, dirigé par CODE, Connected Development, fournit un modèle de plaidoyer budgétaire mené par les jeunes pour la transparence, qui a démontré un impact mesurable sur les politiques publiques et représente un hybride particulièrement efficace entre l’activisme de la société civile et l’engagement dans la gouvernance formelle. Les outils informels, notamment les associations de classes d’âge et le système traditionnel de leadership des jeunes Sarkin Samari, sont évalués par tous les répondants comme les mécanismes de participation les plus accessibles et les plus dignes de confiance pour les jeunes ruraux. Les Parlements des enfants soutenus par l’UNICEF offrent une expérience d’entrée dans la délibération pour les participants plus jeunes, créant une passerelle vers un engagement plus substantiel dans le parlement des jeunes.</w:t>
      </w:r>
    </w:p>
    <w:p w:rsidR="00000000" w:rsidDel="00000000" w:rsidP="00000000" w:rsidRDefault="00000000" w:rsidRPr="00000000" w14:paraId="000000E7">
      <w:pPr>
        <w:spacing w:after="100" w:before="60" w:lineRule="auto"/>
        <w:jc w:val="both"/>
        <w:rPr>
          <w:rFonts w:ascii="Poppins" w:cs="Poppins" w:eastAsia="Poppins" w:hAnsi="Poppins"/>
          <w:b w:val="1"/>
          <w:bCs w:val="1"/>
          <w:i w:val="1"/>
          <w:iCs w:val="1"/>
          <w:color w:val="1a1a1a"/>
          <w:sz w:val="24"/>
          <w:szCs w:val="24"/>
        </w:rPr>
      </w:pPr>
      <w:r w:rsidDel="00000000" w:rsidR="00000000" w:rsidRPr="00000000">
        <w:rPr>
          <w:rFonts w:ascii="Poppins" w:cs="Poppins" w:eastAsia="Poppins" w:hAnsi="Poppins"/>
          <w:b w:val="1"/>
          <w:bCs w:val="1"/>
          <w:i w:val="1"/>
          <w:iCs w:val="1"/>
          <w:color w:val="1a1a1a"/>
          <w:sz w:val="24"/>
          <w:szCs w:val="24"/>
          <w:rtl w:val="0"/>
        </w:rPr>
        <w:t xml:space="preserve">Validation des parties prenantes : l’écart de perception</w:t>
      </w:r>
    </w:p>
    <w:p w:rsidR="00000000" w:rsidDel="00000000" w:rsidP="00000000" w:rsidRDefault="00000000" w:rsidRPr="00000000" w14:paraId="000000E8">
      <w:pPr>
        <w:spacing w:after="100" w:before="60" w:lineRule="auto"/>
        <w:jc w:val="both"/>
        <w:rPr>
          <w:rFonts w:ascii="Poppins" w:cs="Poppins" w:eastAsia="Poppins" w:hAnsi="Poppins"/>
          <w:color w:val="1a1a1a"/>
        </w:rPr>
      </w:pPr>
      <w:r w:rsidDel="00000000" w:rsidR="00000000" w:rsidRPr="00000000">
        <w:rPr>
          <w:rFonts w:ascii="Poppins" w:cs="Poppins" w:eastAsia="Poppins" w:hAnsi="Poppins"/>
          <w:color w:val="1a1a1a"/>
          <w:rtl w:val="0"/>
        </w:rPr>
        <w:t xml:space="preserve">La conception d’entretiens comparatifs structurés, impliquant trois répondants différenciés par rôle institutionnel et par proximité avec les jeunes ruraux, produit la conclusion la plus frappante sur le plan analytique dans la base de données de la Tâche 2.2 pour l’Afrique subsaharienne. Le répondant chargé des politiques indique qu’il existe « plusieurs » opportunités de participation des jeunes et que les points de vue des jeunes sont pris au sérieux « souvent », reflétant la perspective d’un acteur institutionnel qui voit l’architecture formelle des structures étatiques et du NYCN comme un système de participation fonctionnel. Le leader communautaire et le représentant de l’organisation de jeunesse indiquent tous deux qu’il n’existe que « quelques » opportunités et que les points de vue sont pris au sérieux « parfois », reflétant la perspective d’acteurs ancrés dans la réalité communautaire, où les structures formelles sont éloignées, inaccessibles et souvent peu réactives. Le niveau de confort des jeunes à exprimer leurs points de vue dans des cadres formels est évalué entre deux et trois sur dix par les répondants proches des communautés, une conclusion particulièrement significative compte tenu de l’architecture formelle étendue de la participation des jeunes au Nigeria. L’appel du leader communautaire en faveur d’une « base légale pour le Parlement des jeunes afin d’assurer une performance plus engagée » valide fortement la recommandation d’ancrage institutionnel : l’intervention de conception la plus importante dans le contexte nigérian n’est pas la création d’un nouvel espace de participation, mais l’enracinement juridique et financier des espaces existants.</w:t>
      </w:r>
    </w:p>
    <w:p w:rsidR="00000000" w:rsidDel="00000000" w:rsidP="00000000" w:rsidRDefault="00000000" w:rsidRPr="00000000" w14:paraId="000000E9">
      <w:pPr>
        <w:spacing w:after="100" w:before="60" w:lineRule="auto"/>
        <w:jc w:val="both"/>
        <w:rPr>
          <w:rFonts w:ascii="Poppins" w:cs="Poppins" w:eastAsia="Poppins" w:hAnsi="Poppins"/>
          <w:b w:val="1"/>
          <w:bCs w:val="1"/>
          <w:i w:val="1"/>
          <w:iCs w:val="1"/>
          <w:color w:val="1a1a1a"/>
          <w:sz w:val="24"/>
          <w:szCs w:val="24"/>
        </w:rPr>
      </w:pPr>
      <w:r w:rsidDel="00000000" w:rsidR="00000000" w:rsidRPr="00000000">
        <w:rPr>
          <w:rFonts w:ascii="Poppins" w:cs="Poppins" w:eastAsia="Poppins" w:hAnsi="Poppins"/>
          <w:b w:val="1"/>
          <w:bCs w:val="1"/>
          <w:i w:val="1"/>
          <w:iCs w:val="1"/>
          <w:color w:val="1a1a1a"/>
          <w:sz w:val="24"/>
          <w:szCs w:val="24"/>
          <w:rtl w:val="0"/>
        </w:rPr>
        <w:t xml:space="preserve">Implications pour la conception du RYP au Nigeria</w:t>
      </w:r>
    </w:p>
    <w:p w:rsidR="00000000" w:rsidDel="00000000" w:rsidP="00000000" w:rsidRDefault="00000000" w:rsidRPr="00000000" w14:paraId="000000EA">
      <w:pPr>
        <w:spacing w:after="100" w:before="60" w:lineRule="auto"/>
        <w:jc w:val="both"/>
        <w:rPr>
          <w:rFonts w:ascii="Poppins" w:cs="Poppins" w:eastAsia="Poppins" w:hAnsi="Poppins"/>
          <w:color w:val="1a1a1a"/>
        </w:rPr>
      </w:pPr>
      <w:r w:rsidDel="00000000" w:rsidR="00000000" w:rsidRPr="00000000">
        <w:rPr>
          <w:rFonts w:ascii="Poppins" w:cs="Poppins" w:eastAsia="Poppins" w:hAnsi="Poppins"/>
          <w:color w:val="1a1a1a"/>
          <w:rtl w:val="0"/>
        </w:rPr>
        <w:t xml:space="preserve">L’analyse de la Tâche 2.2 consacrée au Nigeria met en évidence trois priorités de conception spécifiques pour le RYP EMPOWER+. Premièrement, le RYP doit être ancré au niveau de la LGA, au moyen d’une résolution formelle du conseil et d’une ligne budgétaire dédiée, même modeste, établissant sa légitimité institutionnelle au sein du système de gouvernement local. Deuxièmement, la conception du RYP doit intégrer activement le leadership des associations de classes d’âge et les chefs traditionnels de jeunes Sarkin Samari comme partenaires formels plutôt que de les traiter comme des parties prenantes externes, en s’appuyant sur la légitimité communautaire que ces institutions possèdent déjà. Troisièmement, la méthodologie Follow the Money devrait être intégrée comme composante de renforcement des capacités au sein du RYP, dotant les délégués jeunes des compétences en littératie budgétaire et en plaidoyer pour la redevabilité nécessaires pour suivre si les allocations budgétaires des LGAs pertinentes pour les jeunes ruraux sont mises en œuvre comme prévu.</w:t>
      </w:r>
    </w:p>
    <w:p w:rsidR="00000000" w:rsidDel="00000000" w:rsidP="00000000" w:rsidRDefault="00000000" w:rsidRPr="00000000" w14:paraId="000000EB">
      <w:pPr>
        <w:pStyle w:val="Heading2"/>
        <w:keepNext w:val="1"/>
        <w:spacing w:after="80" w:before="280" w:lineRule="auto"/>
        <w:rPr>
          <w:rFonts w:ascii="Poppins" w:cs="Poppins" w:eastAsia="Poppins" w:hAnsi="Poppins"/>
          <w:color w:val="b7c3a1"/>
        </w:rPr>
      </w:pPr>
      <w:bookmarkStart w:colFirst="0" w:colLast="0" w:name="_heading=h.z9976wwxtug2" w:id="21"/>
      <w:bookmarkEnd w:id="21"/>
      <w:r w:rsidDel="00000000" w:rsidR="00000000" w:rsidRPr="00000000">
        <w:rPr>
          <w:rFonts w:ascii="Poppins" w:cs="Poppins" w:eastAsia="Poppins" w:hAnsi="Poppins"/>
          <w:color w:val="b7c3a1"/>
          <w:rtl w:val="0"/>
        </w:rPr>
        <w:t xml:space="preserve">3.2 Pays partenaires européens</w:t>
      </w:r>
    </w:p>
    <w:p w:rsidR="00000000" w:rsidDel="00000000" w:rsidP="00000000" w:rsidRDefault="00000000" w:rsidRPr="00000000" w14:paraId="000000EC">
      <w:pPr>
        <w:pStyle w:val="Heading3"/>
        <w:keepNext w:val="1"/>
        <w:spacing w:after="60" w:before="200" w:lineRule="auto"/>
        <w:rPr>
          <w:rFonts w:ascii="Poppins" w:cs="Poppins" w:eastAsia="Poppins" w:hAnsi="Poppins"/>
          <w:color w:val="2f6b3a"/>
        </w:rPr>
      </w:pPr>
      <w:bookmarkStart w:colFirst="0" w:colLast="0" w:name="_heading=h.e3ijk1ywvg5l" w:id="22"/>
      <w:bookmarkEnd w:id="22"/>
      <w:r w:rsidDel="00000000" w:rsidR="00000000" w:rsidRPr="00000000">
        <w:rPr>
          <w:rFonts w:ascii="Poppins" w:cs="Poppins" w:eastAsia="Poppins" w:hAnsi="Poppins"/>
          <w:color w:val="2f6b3a"/>
          <w:rtl w:val="0"/>
        </w:rPr>
        <w:t xml:space="preserve">3.2.1 Grèce</w:t>
      </w:r>
    </w:p>
    <w:p w:rsidR="00000000" w:rsidDel="00000000" w:rsidP="00000000" w:rsidRDefault="00000000" w:rsidRPr="00000000" w14:paraId="000000ED">
      <w:pPr>
        <w:spacing w:after="100" w:before="60" w:lineRule="auto"/>
        <w:jc w:val="both"/>
        <w:rPr>
          <w:rFonts w:ascii="Poppins" w:cs="Poppins" w:eastAsia="Poppins" w:hAnsi="Poppins"/>
          <w:b w:val="1"/>
          <w:bCs w:val="1"/>
          <w:i w:val="1"/>
          <w:iCs w:val="1"/>
          <w:color w:val="1a1a1a"/>
          <w:sz w:val="24"/>
          <w:szCs w:val="24"/>
        </w:rPr>
      </w:pPr>
      <w:r w:rsidDel="00000000" w:rsidR="00000000" w:rsidRPr="00000000">
        <w:rPr>
          <w:rFonts w:ascii="Poppins" w:cs="Poppins" w:eastAsia="Poppins" w:hAnsi="Poppins"/>
          <w:b w:val="1"/>
          <w:bCs w:val="1"/>
          <w:i w:val="1"/>
          <w:iCs w:val="1"/>
          <w:color w:val="1a1a1a"/>
          <w:sz w:val="24"/>
          <w:szCs w:val="24"/>
          <w:rtl w:val="0"/>
        </w:rPr>
        <w:t xml:space="preserve">Cartographie des outils et paysage des politiques publiques</w:t>
      </w:r>
    </w:p>
    <w:p w:rsidR="00000000" w:rsidDel="00000000" w:rsidP="00000000" w:rsidRDefault="00000000" w:rsidRPr="00000000" w14:paraId="000000EE">
      <w:pPr>
        <w:spacing w:after="100" w:before="60" w:lineRule="auto"/>
        <w:jc w:val="both"/>
        <w:rPr>
          <w:rFonts w:ascii="Poppins" w:cs="Poppins" w:eastAsia="Poppins" w:hAnsi="Poppins"/>
          <w:color w:val="1a1a1a"/>
        </w:rPr>
      </w:pPr>
      <w:r w:rsidDel="00000000" w:rsidR="00000000" w:rsidRPr="00000000">
        <w:rPr>
          <w:rFonts w:ascii="Poppins" w:cs="Poppins" w:eastAsia="Poppins" w:hAnsi="Poppins"/>
          <w:color w:val="1a1a1a"/>
          <w:rtl w:val="0"/>
        </w:rPr>
        <w:t xml:space="preserve">Le rapport de la Tâche 2.2 consacré à la Grèce cartographie les outils de participation en quatre catégories, avec une profondeur analytique adaptée à son rôle de pays de référence dans le groupe européen. Les mécanismes institutionnels, notamment les Conseils municipaux des jeunes, le Conseil national hellénique de la jeunesse et le Programme du Parlement grec pour la jeunesse, fournissent l’architecture formelle de gouvernance pour la participation des jeunes aux niveaux municipal, national et législatif. Les stratégies nationales de politiques publiques, notamment la Stratégie nationale d’autonomisation des jeunes « Youth 17-27 » et le Plan stratégique pour l’enseignement et la formation professionnels 2022-2024, fournissent le cadre politique dans lequel les mécanismes institutionnels opèrent. Les cadres européens, notamment la Stratégie de l’UE en faveur de la jeunesse et le processus du Dialogue de l’UE avec la jeunesse, fournissent la base normative et les instruments de cofinancement qui soutiennent une grande partie de la programmation de la participation des jeunes en Grèce. Les mécanismes de consultation publique au niveau national, notamment la plateforme ouverte de consultation et les auditions parlementaires, fournissent des canaux formels supplémentaires auxquels les groupes de jeunes organisés peuvent accéder.</w:t>
      </w:r>
    </w:p>
    <w:p w:rsidR="00000000" w:rsidDel="00000000" w:rsidP="00000000" w:rsidRDefault="00000000" w:rsidRPr="00000000" w14:paraId="000000EF">
      <w:pPr>
        <w:spacing w:after="100" w:before="60" w:lineRule="auto"/>
        <w:jc w:val="both"/>
        <w:rPr>
          <w:rFonts w:ascii="Poppins" w:cs="Poppins" w:eastAsia="Poppins" w:hAnsi="Poppins"/>
          <w:color w:val="1a1a1a"/>
        </w:rPr>
      </w:pPr>
      <w:r w:rsidDel="00000000" w:rsidR="00000000" w:rsidRPr="00000000">
        <w:rPr>
          <w:rtl w:val="0"/>
        </w:rPr>
      </w:r>
    </w:p>
    <w:p w:rsidR="00000000" w:rsidDel="00000000" w:rsidP="00000000" w:rsidRDefault="00000000" w:rsidRPr="00000000" w14:paraId="000000F0">
      <w:pPr>
        <w:spacing w:after="100" w:before="60" w:lineRule="auto"/>
        <w:jc w:val="both"/>
        <w:rPr>
          <w:rFonts w:ascii="Poppins" w:cs="Poppins" w:eastAsia="Poppins" w:hAnsi="Poppins"/>
          <w:b w:val="1"/>
          <w:bCs w:val="1"/>
          <w:i w:val="1"/>
          <w:iCs w:val="1"/>
          <w:color w:val="1a1a1a"/>
          <w:sz w:val="24"/>
          <w:szCs w:val="24"/>
        </w:rPr>
      </w:pPr>
      <w:r w:rsidDel="00000000" w:rsidR="00000000" w:rsidRPr="00000000">
        <w:rPr>
          <w:rFonts w:ascii="Poppins" w:cs="Poppins" w:eastAsia="Poppins" w:hAnsi="Poppins"/>
          <w:b w:val="1"/>
          <w:bCs w:val="1"/>
          <w:i w:val="1"/>
          <w:iCs w:val="1"/>
          <w:color w:val="1a1a1a"/>
          <w:sz w:val="24"/>
          <w:szCs w:val="24"/>
          <w:rtl w:val="0"/>
        </w:rPr>
        <w:t xml:space="preserve">Analyse des lacunes de mise en œuvre</w:t>
      </w:r>
    </w:p>
    <w:p w:rsidR="00000000" w:rsidDel="00000000" w:rsidP="00000000" w:rsidRDefault="00000000" w:rsidRPr="00000000" w14:paraId="000000F1">
      <w:pPr>
        <w:spacing w:after="100" w:before="60" w:lineRule="auto"/>
        <w:jc w:val="both"/>
        <w:rPr>
          <w:rFonts w:ascii="Poppins" w:cs="Poppins" w:eastAsia="Poppins" w:hAnsi="Poppins"/>
          <w:color w:val="1a1a1a"/>
        </w:rPr>
      </w:pPr>
      <w:r w:rsidDel="00000000" w:rsidR="00000000" w:rsidRPr="00000000">
        <w:rPr>
          <w:rFonts w:ascii="Poppins" w:cs="Poppins" w:eastAsia="Poppins" w:hAnsi="Poppins"/>
          <w:color w:val="1a1a1a"/>
          <w:rtl w:val="0"/>
        </w:rPr>
        <w:t xml:space="preserve">L’analyse identifie un schéma cohérent entre l’offre institutionnelle formelle et la mise en œuvre pratique, qui fait écho à la distinction de jure versus de facto centrale dans cette synthèse. Les Conseils municipaux des jeunes existent comme instrument juridique et fonctionnent efficacement dans un certain nombre de municipalités, mais leur établissement n’est pas obligatoire et leur fonctionnement varie énormément à travers le pays. Les municipalités rurales, confrontées à des contraintes de ressources plus importantes et à une densité plus faible de la société civile, sont nettement moins susceptibles d’avoir établi un conseil de jeunes fonctionnel et nettement moins susceptibles de l’avoir intégré de manière significative aux processus de décision municipale. La dépendance au financement européen par projet crée un schéma cyclique d’engagement qui compromet la continuité nécessaire à la construction d’une véritable institution participative : les conseils de jeunes et les programmes de participation sont dynamisés pendant les périodes de projet et se contractent lorsque le financement prend fin. Ce schéma, largement documenté dans le contexte grec, constitue un avertissement direct pour la conception des RYPs en Afrique subsaharienne quant aux risques d’une infrastructure de participation dépendante des projets.</w:t>
      </w:r>
    </w:p>
    <w:p w:rsidR="00000000" w:rsidDel="00000000" w:rsidP="00000000" w:rsidRDefault="00000000" w:rsidRPr="00000000" w14:paraId="000000F2">
      <w:pPr>
        <w:spacing w:after="100" w:before="60" w:lineRule="auto"/>
        <w:jc w:val="both"/>
        <w:rPr>
          <w:rFonts w:ascii="Poppins" w:cs="Poppins" w:eastAsia="Poppins" w:hAnsi="Poppins"/>
          <w:b w:val="1"/>
          <w:bCs w:val="1"/>
          <w:i w:val="1"/>
          <w:iCs w:val="1"/>
          <w:color w:val="1a1a1a"/>
          <w:sz w:val="24"/>
          <w:szCs w:val="24"/>
        </w:rPr>
      </w:pPr>
      <w:r w:rsidDel="00000000" w:rsidR="00000000" w:rsidRPr="00000000">
        <w:rPr>
          <w:rFonts w:ascii="Poppins" w:cs="Poppins" w:eastAsia="Poppins" w:hAnsi="Poppins"/>
          <w:b w:val="1"/>
          <w:bCs w:val="1"/>
          <w:i w:val="1"/>
          <w:iCs w:val="1"/>
          <w:color w:val="1a1a1a"/>
          <w:sz w:val="24"/>
          <w:szCs w:val="24"/>
          <w:rtl w:val="0"/>
        </w:rPr>
        <w:t xml:space="preserve">Transférabilité : leçons du modèle de Larissa</w:t>
      </w:r>
    </w:p>
    <w:p w:rsidR="00000000" w:rsidDel="00000000" w:rsidP="00000000" w:rsidRDefault="00000000" w:rsidRPr="00000000" w14:paraId="000000F3">
      <w:pPr>
        <w:spacing w:after="100" w:before="60" w:lineRule="auto"/>
        <w:jc w:val="both"/>
        <w:rPr>
          <w:rFonts w:ascii="Poppins" w:cs="Poppins" w:eastAsia="Poppins" w:hAnsi="Poppins"/>
          <w:color w:val="1a1a1a"/>
        </w:rPr>
      </w:pPr>
      <w:r w:rsidDel="00000000" w:rsidR="00000000" w:rsidRPr="00000000">
        <w:rPr>
          <w:rFonts w:ascii="Poppins" w:cs="Poppins" w:eastAsia="Poppins" w:hAnsi="Poppins"/>
          <w:color w:val="1a1a1a"/>
          <w:rtl w:val="0"/>
        </w:rPr>
        <w:t xml:space="preserve">Le Conseil municipal des jeunes de Larissa représente la bonne pratique la plus solidement documentée dans le rapport grec et offre les leçons de conception les plus directement applicables à la dimension institutionnelle du développement des RYPs. Son efficacité repose sur trois caractéristiques : il tient des réunions régulières avec des groupes de travail thématiques définis, qui créent un engagement soutenu sur des domaines spécifiques de politiques publiques plutôt qu’une consultation générique des jeunes ; il a développé des relations de travail avec des départements municipaux spécifiques, donnant à ses résultats une voie administrative définie ; et sa composition est suffisamment large pour représenter diverses perspectives de jeunes tout en restant assez restreinte pour délibérer efficacement. Ces trois caractéristiques — orientation thématique, voie institutionnelle et échelle appropriée — constituent un modèle de conception applicable au contexte des RYPs en Afrique subsaharienne, avec une adaptation appropriée aux structures de gouvernance et aux normes culturelles.</w:t>
      </w:r>
    </w:p>
    <w:p w:rsidR="00000000" w:rsidDel="00000000" w:rsidP="00000000" w:rsidRDefault="00000000" w:rsidRPr="00000000" w14:paraId="000000F4">
      <w:pPr>
        <w:pStyle w:val="Heading3"/>
        <w:keepNext w:val="1"/>
        <w:spacing w:after="60" w:before="200" w:lineRule="auto"/>
        <w:rPr>
          <w:rFonts w:ascii="Poppins" w:cs="Poppins" w:eastAsia="Poppins" w:hAnsi="Poppins"/>
          <w:color w:val="2f6b3a"/>
        </w:rPr>
      </w:pPr>
      <w:bookmarkStart w:colFirst="0" w:colLast="0" w:name="_heading=h.g7gjs7b4k178" w:id="23"/>
      <w:bookmarkEnd w:id="23"/>
      <w:r w:rsidDel="00000000" w:rsidR="00000000" w:rsidRPr="00000000">
        <w:rPr>
          <w:rFonts w:ascii="Poppins" w:cs="Poppins" w:eastAsia="Poppins" w:hAnsi="Poppins"/>
          <w:color w:val="2f6b3a"/>
          <w:rtl w:val="0"/>
        </w:rPr>
        <w:t xml:space="preserve">3.2.2 Italie</w:t>
      </w:r>
    </w:p>
    <w:p w:rsidR="00000000" w:rsidDel="00000000" w:rsidP="00000000" w:rsidRDefault="00000000" w:rsidRPr="00000000" w14:paraId="000000F5">
      <w:pPr>
        <w:spacing w:after="100" w:before="60" w:lineRule="auto"/>
        <w:jc w:val="both"/>
        <w:rPr>
          <w:rFonts w:ascii="Poppins" w:cs="Poppins" w:eastAsia="Poppins" w:hAnsi="Poppins"/>
          <w:b w:val="1"/>
          <w:bCs w:val="1"/>
          <w:i w:val="1"/>
          <w:iCs w:val="1"/>
          <w:color w:val="1a1a1a"/>
          <w:sz w:val="24"/>
          <w:szCs w:val="24"/>
        </w:rPr>
      </w:pPr>
      <w:r w:rsidDel="00000000" w:rsidR="00000000" w:rsidRPr="00000000">
        <w:rPr>
          <w:rFonts w:ascii="Poppins" w:cs="Poppins" w:eastAsia="Poppins" w:hAnsi="Poppins"/>
          <w:b w:val="1"/>
          <w:bCs w:val="1"/>
          <w:i w:val="1"/>
          <w:iCs w:val="1"/>
          <w:color w:val="1a1a1a"/>
          <w:sz w:val="24"/>
          <w:szCs w:val="24"/>
          <w:rtl w:val="0"/>
        </w:rPr>
        <w:t xml:space="preserve">Cartographie des outils aux différents niveaux de gouvernance</w:t>
      </w:r>
    </w:p>
    <w:p w:rsidR="00000000" w:rsidDel="00000000" w:rsidP="00000000" w:rsidRDefault="00000000" w:rsidRPr="00000000" w14:paraId="000000F6">
      <w:pPr>
        <w:spacing w:after="100" w:before="60" w:lineRule="auto"/>
        <w:jc w:val="both"/>
        <w:rPr>
          <w:rFonts w:ascii="Poppins" w:cs="Poppins" w:eastAsia="Poppins" w:hAnsi="Poppins"/>
          <w:color w:val="1a1a1a"/>
        </w:rPr>
      </w:pPr>
      <w:r w:rsidDel="00000000" w:rsidR="00000000" w:rsidRPr="00000000">
        <w:rPr>
          <w:rFonts w:ascii="Poppins" w:cs="Poppins" w:eastAsia="Poppins" w:hAnsi="Poppins"/>
          <w:color w:val="1a1a1a"/>
          <w:rtl w:val="0"/>
        </w:rPr>
        <w:t xml:space="preserve">Le rapport de la Tâche 2.2 consacré à l’Italie fournit la cartographie multi-niveaux la plus complète des outils dans le groupe européen, documentant les outils de participation aux niveaux national, régional, local et non formel, avec une attention portée aux relations institutionnelles et aux flux de ressources qui les relient. Au niveau national, le Consiglio Nazionale dei Giovani et la Stratégie nationale pour la jeunesse fournissent le cadre. Au niveau régional, les Conseils régionaux des jeunes et les forums de jeunesse offrent un niveau intermédiaire plus accessible que les structures nationales, mais encore fortement concentré dans les capitales régionales. Au niveau local, les Conseils municipaux des jeunes et les forums participatifs fournissent les structures formelles les plus proches, bien que leur mise en œuvre dans les municipalités rurales et des zones intérieures soit, comme documenté dans l’analyse de la Tâche 2.1, très inégale. Au niveau non formel, les organisations de jeunesse, les laboratoires communautaires, les Groupes de soutien locaux YEPP et les Activités de participation des jeunes Erasmus+ fournissent l’infrastructure de participation la plus accessible et la plus digne de confiance pour les jeunes ruraux qui ne sont pas connectés aux réseaux institutionnels formels.</w:t>
      </w:r>
    </w:p>
    <w:p w:rsidR="00000000" w:rsidDel="00000000" w:rsidP="00000000" w:rsidRDefault="00000000" w:rsidRPr="00000000" w14:paraId="000000F7">
      <w:pPr>
        <w:spacing w:after="100" w:before="60" w:lineRule="auto"/>
        <w:jc w:val="both"/>
        <w:rPr>
          <w:rFonts w:ascii="Poppins" w:cs="Poppins" w:eastAsia="Poppins" w:hAnsi="Poppins"/>
          <w:b w:val="1"/>
          <w:bCs w:val="1"/>
          <w:i w:val="1"/>
          <w:iCs w:val="1"/>
          <w:color w:val="1a1a1a"/>
          <w:sz w:val="24"/>
          <w:szCs w:val="24"/>
        </w:rPr>
      </w:pPr>
      <w:r w:rsidDel="00000000" w:rsidR="00000000" w:rsidRPr="00000000">
        <w:rPr>
          <w:rFonts w:ascii="Poppins" w:cs="Poppins" w:eastAsia="Poppins" w:hAnsi="Poppins"/>
          <w:b w:val="1"/>
          <w:bCs w:val="1"/>
          <w:i w:val="1"/>
          <w:iCs w:val="1"/>
          <w:color w:val="1a1a1a"/>
          <w:sz w:val="24"/>
          <w:szCs w:val="24"/>
          <w:rtl w:val="0"/>
        </w:rPr>
        <w:t xml:space="preserve">Conclusions des groupes de discussion : accès, exclusion et confiance</w:t>
      </w:r>
    </w:p>
    <w:p w:rsidR="00000000" w:rsidDel="00000000" w:rsidP="00000000" w:rsidRDefault="00000000" w:rsidRPr="00000000" w14:paraId="000000F8">
      <w:pPr>
        <w:spacing w:after="100" w:before="60" w:lineRule="auto"/>
        <w:jc w:val="both"/>
        <w:rPr>
          <w:rFonts w:ascii="Poppins" w:cs="Poppins" w:eastAsia="Poppins" w:hAnsi="Poppins"/>
          <w:color w:val="1a1a1a"/>
        </w:rPr>
      </w:pPr>
      <w:r w:rsidDel="00000000" w:rsidR="00000000" w:rsidRPr="00000000">
        <w:rPr>
          <w:rFonts w:ascii="Poppins" w:cs="Poppins" w:eastAsia="Poppins" w:hAnsi="Poppins"/>
          <w:color w:val="1a1a1a"/>
          <w:rtl w:val="0"/>
        </w:rPr>
        <w:t xml:space="preserve">Les groupes de discussion menés avec des jeunes et des travailleurs de jeunesse dans le contexte italien révèlent trois conclusions interconnectées directement pertinentes pour le processus de conception EMPOWER+. Premièrement, l’accès à la participation formelle est souvent médiatisé par l’appartenance organisationnelle ou par des relations personnelles, créant une exclusion structurelle des jeunes ruraux non affiliés qui ne disposent pas du capital social nécessaire pour naviguer dans les points d’entrée institutionnels formels. Cette conclusion reflète la dépendance à l’affiliation documentée dans le contexte mauricien et renvoie à un principe de conception transversal : les voies d’entrée dans les RYPs doivent être véritablement ouvertes et activement publicisées, plutôt que dépendantes des réseaux organisationnels existants. Deuxièmement, les outils non formels et fondés sur des projets sont systématiquement perçus comme plus accessibles et plus réactifs que les mécanismes formels, reflétant la capacité des approches portées par la société civile à s’adapter aux réalités communautaires d’une manière dont les structures gouvernementales formelles sont incapables. Troisièmement, les faibles processus de redevabilité et l’absence d’un pouvoir décisionnel significatif sont identifiés comme les principaux facteurs réduisant la confiance dans les structures formelles de participation et l’engagement durable envers celles-ci, les jeunes décrivant un schéma dans lequel ils sont consultés de manière répétée sans pouvoir citer un quelconque résultat issu de leur engagement.</w:t>
      </w:r>
    </w:p>
    <w:p w:rsidR="00000000" w:rsidDel="00000000" w:rsidP="00000000" w:rsidRDefault="00000000" w:rsidRPr="00000000" w14:paraId="000000F9">
      <w:pPr>
        <w:spacing w:after="100" w:before="60" w:lineRule="auto"/>
        <w:jc w:val="both"/>
        <w:rPr>
          <w:rFonts w:ascii="Poppins" w:cs="Poppins" w:eastAsia="Poppins" w:hAnsi="Poppins"/>
          <w:color w:val="1a1a1a"/>
        </w:rPr>
      </w:pPr>
      <w:r w:rsidDel="00000000" w:rsidR="00000000" w:rsidRPr="00000000">
        <w:rPr>
          <w:rtl w:val="0"/>
        </w:rPr>
      </w:r>
    </w:p>
    <w:p w:rsidR="00000000" w:rsidDel="00000000" w:rsidP="00000000" w:rsidRDefault="00000000" w:rsidRPr="00000000" w14:paraId="000000FA">
      <w:pPr>
        <w:spacing w:after="100" w:before="60" w:lineRule="auto"/>
        <w:jc w:val="both"/>
        <w:rPr>
          <w:rFonts w:ascii="Poppins" w:cs="Poppins" w:eastAsia="Poppins" w:hAnsi="Poppins"/>
          <w:color w:val="1a1a1a"/>
        </w:rPr>
      </w:pPr>
      <w:r w:rsidDel="00000000" w:rsidR="00000000" w:rsidRPr="00000000">
        <w:rPr>
          <w:rtl w:val="0"/>
        </w:rPr>
      </w:r>
    </w:p>
    <w:p w:rsidR="00000000" w:rsidDel="00000000" w:rsidP="00000000" w:rsidRDefault="00000000" w:rsidRPr="00000000" w14:paraId="000000FB">
      <w:pPr>
        <w:spacing w:after="100" w:before="60" w:lineRule="auto"/>
        <w:jc w:val="both"/>
        <w:rPr>
          <w:rFonts w:ascii="Poppins" w:cs="Poppins" w:eastAsia="Poppins" w:hAnsi="Poppins"/>
          <w:b w:val="1"/>
          <w:bCs w:val="1"/>
          <w:i w:val="1"/>
          <w:iCs w:val="1"/>
          <w:color w:val="1a1a1a"/>
          <w:sz w:val="24"/>
          <w:szCs w:val="24"/>
        </w:rPr>
      </w:pPr>
      <w:r w:rsidDel="00000000" w:rsidR="00000000" w:rsidRPr="00000000">
        <w:rPr>
          <w:rFonts w:ascii="Poppins" w:cs="Poppins" w:eastAsia="Poppins" w:hAnsi="Poppins"/>
          <w:b w:val="1"/>
          <w:bCs w:val="1"/>
          <w:i w:val="1"/>
          <w:iCs w:val="1"/>
          <w:color w:val="1a1a1a"/>
          <w:sz w:val="24"/>
          <w:szCs w:val="24"/>
          <w:rtl w:val="0"/>
        </w:rPr>
        <w:t xml:space="preserve">Implications pour la conception d’EMPOWER+</w:t>
      </w:r>
    </w:p>
    <w:p w:rsidR="00000000" w:rsidDel="00000000" w:rsidP="00000000" w:rsidRDefault="00000000" w:rsidRPr="00000000" w14:paraId="000000FC">
      <w:pPr>
        <w:spacing w:after="100" w:before="60" w:lineRule="auto"/>
        <w:jc w:val="both"/>
        <w:rPr>
          <w:rFonts w:ascii="Poppins" w:cs="Poppins" w:eastAsia="Poppins" w:hAnsi="Poppins"/>
          <w:color w:val="1a1a1a"/>
        </w:rPr>
      </w:pPr>
      <w:r w:rsidDel="00000000" w:rsidR="00000000" w:rsidRPr="00000000">
        <w:rPr>
          <w:rFonts w:ascii="Poppins" w:cs="Poppins" w:eastAsia="Poppins" w:hAnsi="Poppins"/>
          <w:color w:val="1a1a1a"/>
          <w:rtl w:val="0"/>
        </w:rPr>
        <w:t xml:space="preserve">Les données italiennes génèrent deux implications de conception spécifiques. Premièrement, le modèle du Groupe de soutien local YEPP devrait être adapté comme infrastructure non formelle principale soutenant chaque RYP en Afrique subsaharienne, fournissant les fonctions relationnelles et de mise à disposition de ressources qui rendent la délibération parlementaire formelle accessible aux jeunes ruraux les plus marginalisés. Deuxièmement, l’expérience documentée de la fatigue de consultation chez les jeunes Italiens renforce la recommandation selon laquelle chaque activité RYP doit produire un résultat visible et communiqué dans le cycle au cours duquel elle a lieu, constituant la base de preuves qui démontre aux participants que l’engagement produit des résultats conséquents.</w:t>
      </w:r>
    </w:p>
    <w:p w:rsidR="00000000" w:rsidDel="00000000" w:rsidP="00000000" w:rsidRDefault="00000000" w:rsidRPr="00000000" w14:paraId="000000FD">
      <w:pPr>
        <w:pStyle w:val="Heading3"/>
        <w:keepNext w:val="1"/>
        <w:spacing w:after="60" w:before="200" w:lineRule="auto"/>
        <w:rPr>
          <w:rFonts w:ascii="Poppins" w:cs="Poppins" w:eastAsia="Poppins" w:hAnsi="Poppins"/>
          <w:color w:val="2f6b3a"/>
        </w:rPr>
      </w:pPr>
      <w:bookmarkStart w:colFirst="0" w:colLast="0" w:name="_heading=h.tl2xn6mlbfec" w:id="24"/>
      <w:bookmarkEnd w:id="24"/>
      <w:r w:rsidDel="00000000" w:rsidR="00000000" w:rsidRPr="00000000">
        <w:rPr>
          <w:rFonts w:ascii="Poppins" w:cs="Poppins" w:eastAsia="Poppins" w:hAnsi="Poppins"/>
          <w:color w:val="2f6b3a"/>
          <w:rtl w:val="0"/>
        </w:rPr>
        <w:t xml:space="preserve">3.2.3 Roumanie</w:t>
      </w:r>
    </w:p>
    <w:p w:rsidR="00000000" w:rsidDel="00000000" w:rsidP="00000000" w:rsidRDefault="00000000" w:rsidRPr="00000000" w14:paraId="000000FE">
      <w:pPr>
        <w:spacing w:after="100" w:before="60" w:lineRule="auto"/>
        <w:jc w:val="both"/>
        <w:rPr>
          <w:rFonts w:ascii="Poppins" w:cs="Poppins" w:eastAsia="Poppins" w:hAnsi="Poppins"/>
          <w:b w:val="1"/>
          <w:bCs w:val="1"/>
          <w:i w:val="1"/>
          <w:iCs w:val="1"/>
          <w:color w:val="1a1a1a"/>
          <w:sz w:val="24"/>
          <w:szCs w:val="24"/>
        </w:rPr>
      </w:pPr>
      <w:r w:rsidDel="00000000" w:rsidR="00000000" w:rsidRPr="00000000">
        <w:rPr>
          <w:rFonts w:ascii="Poppins" w:cs="Poppins" w:eastAsia="Poppins" w:hAnsi="Poppins"/>
          <w:b w:val="1"/>
          <w:bCs w:val="1"/>
          <w:i w:val="1"/>
          <w:iCs w:val="1"/>
          <w:color w:val="1a1a1a"/>
          <w:sz w:val="24"/>
          <w:szCs w:val="24"/>
          <w:rtl w:val="0"/>
        </w:rPr>
        <w:t xml:space="preserve">Cartographie de la gouvernance multi-niveaux</w:t>
      </w:r>
    </w:p>
    <w:p w:rsidR="00000000" w:rsidDel="00000000" w:rsidP="00000000" w:rsidRDefault="00000000" w:rsidRPr="00000000" w14:paraId="000000FF">
      <w:pPr>
        <w:spacing w:after="100" w:before="60" w:lineRule="auto"/>
        <w:jc w:val="both"/>
        <w:rPr>
          <w:rFonts w:ascii="Poppins" w:cs="Poppins" w:eastAsia="Poppins" w:hAnsi="Poppins"/>
          <w:color w:val="1a1a1a"/>
        </w:rPr>
      </w:pPr>
      <w:r w:rsidDel="00000000" w:rsidR="00000000" w:rsidRPr="00000000">
        <w:rPr>
          <w:rFonts w:ascii="Poppins" w:cs="Poppins" w:eastAsia="Poppins" w:hAnsi="Poppins"/>
          <w:color w:val="1a1a1a"/>
          <w:rtl w:val="0"/>
        </w:rPr>
        <w:t xml:space="preserve">Le rapport de la Tâche 2.2 consacré à la Roumanie fournit la cartographie analytique de la gouvernance la plus détaillée du groupe européen et les données les plus directement actionnables pour la conception des RYPs EMPOWER+. La cartographie documente des outils à trois niveaux de gouvernance. Au niveau local, la Loi 52/2003 sur la transparence décisionnelle et la consultation publique fournit la base juridique de l’engagement des jeunes dans la prise de décision locale, tandis que la Loi sur la jeunesse 350/2006 établit le cadre normatif des droits de participation des jeunes. La structure de gouvernance LEADER à travers le LAG fournit un mécanisme participatif de développement rural qui a été adapté pour soutenir le modèle RYP sur le territoire du LAG Napoca Porolissum, et le RYP lui-même est documenté comme l’innovation participative la plus significative à ce niveau. Au niveau départemental, le financement jeunesse du Conseil départemental de Cluj fournit un mécanisme de financement public, tandis que la fédération d’ONG Federatia Tinerilor din Cluj fournit une capacité de médiation de la société civile reliant les groupes de jeunes aux processus de gouvernance départementale. Au niveau national, la Stratégie nationale pour la jeunesse 2024-2027 fournit le cadre politique, tandis que les plateformes numériques de consultation E-Consultare et CONECT.GOV.RO fournissent des canaux formels pour la contribution des jeunes aux politiques publiques.</w:t>
      </w:r>
    </w:p>
    <w:p w:rsidR="00000000" w:rsidDel="00000000" w:rsidP="00000000" w:rsidRDefault="00000000" w:rsidRPr="00000000" w14:paraId="00000100">
      <w:pPr>
        <w:spacing w:after="100" w:before="60" w:lineRule="auto"/>
        <w:jc w:val="both"/>
        <w:rPr>
          <w:rFonts w:ascii="Poppins" w:cs="Poppins" w:eastAsia="Poppins" w:hAnsi="Poppins"/>
          <w:b w:val="1"/>
          <w:bCs w:val="1"/>
          <w:i w:val="1"/>
          <w:iCs w:val="1"/>
          <w:color w:val="1a1a1a"/>
          <w:sz w:val="24"/>
          <w:szCs w:val="24"/>
        </w:rPr>
      </w:pPr>
      <w:r w:rsidDel="00000000" w:rsidR="00000000" w:rsidRPr="00000000">
        <w:rPr>
          <w:rFonts w:ascii="Poppins" w:cs="Poppins" w:eastAsia="Poppins" w:hAnsi="Poppins"/>
          <w:b w:val="1"/>
          <w:bCs w:val="1"/>
          <w:i w:val="1"/>
          <w:iCs w:val="1"/>
          <w:color w:val="1a1a1a"/>
          <w:sz w:val="24"/>
          <w:szCs w:val="24"/>
          <w:rtl w:val="0"/>
        </w:rPr>
        <w:t xml:space="preserve">Le RYP comme infrastructure de participation : preuves d’efficacité</w:t>
      </w:r>
    </w:p>
    <w:p w:rsidR="00000000" w:rsidDel="00000000" w:rsidP="00000000" w:rsidRDefault="00000000" w:rsidRPr="00000000" w14:paraId="00000101">
      <w:pPr>
        <w:spacing w:after="100" w:before="60" w:lineRule="auto"/>
        <w:jc w:val="both"/>
        <w:rPr>
          <w:rFonts w:ascii="Poppins" w:cs="Poppins" w:eastAsia="Poppins" w:hAnsi="Poppins"/>
          <w:color w:val="1a1a1a"/>
        </w:rPr>
      </w:pPr>
      <w:r w:rsidDel="00000000" w:rsidR="00000000" w:rsidRPr="00000000">
        <w:rPr>
          <w:rFonts w:ascii="Poppins" w:cs="Poppins" w:eastAsia="Poppins" w:hAnsi="Poppins"/>
          <w:color w:val="1a1a1a"/>
          <w:rtl w:val="0"/>
        </w:rPr>
        <w:t xml:space="preserve">L’analyse de la Tâche 2.2 documente le modèle RYP basé sur le LAG comme « infrastructure de participation » dans un sens théorique précis : il ne s’agit pas d’un événement ponctuel ou d’une activité limitée à la période du projet, mais d’un système structuré qui développe les compétences de délibération, agrège les besoins communautaires au-delà des frontières administratives et crée un dialogue médiatisé et durable entre les jeunes ruraux et les décideurs locaux. Les preuves d’efficacité incluent des actions communautaires documentées issues des délibérations du RYP, notamment des campagnes environnementales avec des taux mesurables de participation communautaire, des événements culturels qui ont créé de nouveaux forums de dialogue intergénérationnel et des propositions de projets locaux intégrées dans la stratégie territoriale du LAG. Le guide de facilitation développé par des tests itératifs sur plusieurs cycles de mise en œuvre constitue la ressource pratique la plus utile que le groupe européen apporte à la conception EMPOWER+ en Afrique subsaharienne, codifiant l’apprentissage méthodologique issu de plusieurs années de pratique dans un format directement adaptable à différents contextes culturels et de gouvernance.</w:t>
      </w:r>
    </w:p>
    <w:p w:rsidR="00000000" w:rsidDel="00000000" w:rsidP="00000000" w:rsidRDefault="00000000" w:rsidRPr="00000000" w14:paraId="00000102">
      <w:pPr>
        <w:spacing w:after="100" w:before="60" w:lineRule="auto"/>
        <w:jc w:val="both"/>
        <w:rPr>
          <w:rFonts w:ascii="Poppins" w:cs="Poppins" w:eastAsia="Poppins" w:hAnsi="Poppins"/>
          <w:b w:val="1"/>
          <w:bCs w:val="1"/>
          <w:i w:val="1"/>
          <w:iCs w:val="1"/>
          <w:color w:val="1a1a1a"/>
          <w:sz w:val="24"/>
          <w:szCs w:val="24"/>
        </w:rPr>
      </w:pPr>
      <w:r w:rsidDel="00000000" w:rsidR="00000000" w:rsidRPr="00000000">
        <w:rPr>
          <w:rFonts w:ascii="Poppins" w:cs="Poppins" w:eastAsia="Poppins" w:hAnsi="Poppins"/>
          <w:b w:val="1"/>
          <w:bCs w:val="1"/>
          <w:i w:val="1"/>
          <w:iCs w:val="1"/>
          <w:color w:val="1a1a1a"/>
          <w:sz w:val="24"/>
          <w:szCs w:val="24"/>
          <w:rtl w:val="0"/>
        </w:rPr>
        <w:t xml:space="preserve">Lacunes et défis de durabilité</w:t>
      </w:r>
    </w:p>
    <w:p w:rsidR="00000000" w:rsidDel="00000000" w:rsidP="00000000" w:rsidRDefault="00000000" w:rsidRPr="00000000" w14:paraId="00000103">
      <w:pPr>
        <w:spacing w:after="100" w:before="60" w:lineRule="auto"/>
        <w:jc w:val="both"/>
        <w:rPr>
          <w:rFonts w:ascii="Poppins" w:cs="Poppins" w:eastAsia="Poppins" w:hAnsi="Poppins"/>
          <w:color w:val="1a1a1a"/>
        </w:rPr>
      </w:pPr>
      <w:r w:rsidDel="00000000" w:rsidR="00000000" w:rsidRPr="00000000">
        <w:rPr>
          <w:rFonts w:ascii="Poppins" w:cs="Poppins" w:eastAsia="Poppins" w:hAnsi="Poppins"/>
          <w:color w:val="1a1a1a"/>
          <w:rtl w:val="0"/>
        </w:rPr>
        <w:t xml:space="preserve">L’analyse de la Tâche 2.2 identifie trois lacunes ayant des implications directes pour l’adaptation en Afrique subsaharienne. La capacité de médiation rurale reste limitée dans les communes les plus dispersées et les plus éloignées du territoire du LAG, où l’absence de facilitateurs locaux formés crée un obstacle persistant pour atteindre les jeunes les plus éloignés du centre administratif du LAG. Les obstacles géographiques et de transport qui caractérisent le territoire montagneux exigent des dispositions explicites en matière de ressources, notamment un soutien au transport des délégués RYP, qui doivent être intégrées au budget opérationnel plutôt que traitées comme des coûts exceptionnels. La transition institutionnelle à la suite de la création des Directions départementales de la jeunesse et de la famille par la Décision gouvernementale 197/2022 a créé une certaine incertitude dans le paysage institutionnel départemental, qui affecte la capacité du RYP à relier ses résultats aux processus de gouvernance départementale. Ces lacunes, ainsi que les stratégies développées au sein du partenariat roumain pour y répondre, sont directement transférables comme leçons de conception pour la mise en œuvre des RYPs en Afrique subsaharienne, où des défis analogues de dispersion géographique, de contrainte de ressources et d’instabilité institutionnelle seront rencontrés sous des formes plus aiguës.</w:t>
      </w:r>
    </w:p>
    <w:p w:rsidR="00000000" w:rsidDel="00000000" w:rsidP="00000000" w:rsidRDefault="00000000" w:rsidRPr="00000000" w14:paraId="00000104">
      <w:pPr>
        <w:spacing w:after="100" w:before="60" w:lineRule="auto"/>
        <w:ind w:left="720" w:firstLine="0"/>
        <w:jc w:val="both"/>
        <w:rPr>
          <w:rFonts w:ascii="Poppins" w:cs="Poppins" w:eastAsia="Poppins" w:hAnsi="Poppins"/>
          <w:color w:val="1a1a1a"/>
        </w:rPr>
      </w:pPr>
      <w:r w:rsidDel="00000000" w:rsidR="00000000" w:rsidRPr="00000000">
        <w:rPr>
          <w:rtl w:val="0"/>
        </w:rPr>
      </w:r>
    </w:p>
    <w:p w:rsidR="00000000" w:rsidDel="00000000" w:rsidP="00000000" w:rsidRDefault="00000000" w:rsidRPr="00000000" w14:paraId="00000105">
      <w:pPr>
        <w:spacing w:after="100" w:before="60" w:lineRule="auto"/>
        <w:jc w:val="both"/>
        <w:rPr>
          <w:rFonts w:ascii="Poppins" w:cs="Poppins" w:eastAsia="Poppins" w:hAnsi="Poppins"/>
        </w:rPr>
      </w:pPr>
      <w:r w:rsidDel="00000000" w:rsidR="00000000" w:rsidRPr="00000000">
        <w:rPr>
          <w:rtl w:val="0"/>
        </w:rPr>
      </w:r>
    </w:p>
    <w:p w:rsidR="00000000" w:rsidDel="00000000" w:rsidP="00000000" w:rsidRDefault="00000000" w:rsidRPr="00000000" w14:paraId="00000106">
      <w:pPr>
        <w:rPr>
          <w:rFonts w:ascii="Poppins" w:cs="Poppins" w:eastAsia="Poppins" w:hAnsi="Poppins"/>
        </w:rPr>
      </w:pPr>
      <w:r w:rsidDel="00000000" w:rsidR="00000000" w:rsidRPr="00000000">
        <w:br w:type="page"/>
      </w:r>
      <w:r w:rsidDel="00000000" w:rsidR="00000000" w:rsidRPr="00000000">
        <w:rPr>
          <w:rtl w:val="0"/>
        </w:rPr>
      </w:r>
    </w:p>
    <w:p w:rsidR="00000000" w:rsidDel="00000000" w:rsidP="00000000" w:rsidRDefault="00000000" w:rsidRPr="00000000" w14:paraId="00000107">
      <w:pPr>
        <w:pStyle w:val="Heading1"/>
        <w:keepNext w:val="1"/>
        <w:spacing w:after="120" w:before="360" w:lineRule="auto"/>
        <w:rPr>
          <w:rFonts w:ascii="Poppins" w:cs="Poppins" w:eastAsia="Poppins" w:hAnsi="Poppins"/>
          <w:color w:val="2f6b3a"/>
        </w:rPr>
      </w:pPr>
      <w:bookmarkStart w:colFirst="0" w:colLast="0" w:name="_heading=h.3x86ltlv0xda" w:id="25"/>
      <w:bookmarkEnd w:id="25"/>
      <w:r w:rsidDel="00000000" w:rsidR="00000000" w:rsidRPr="00000000">
        <w:rPr>
          <w:rFonts w:ascii="Poppins" w:cs="Poppins" w:eastAsia="Poppins" w:hAnsi="Poppins"/>
          <w:color w:val="2f6b3a"/>
          <w:rtl w:val="0"/>
        </w:rPr>
        <w:t xml:space="preserve">4. Analyse comparative : tendances transnationales et enseignements transférables</w:t>
      </w:r>
    </w:p>
    <w:p w:rsidR="00000000" w:rsidDel="00000000" w:rsidP="00000000" w:rsidRDefault="00000000" w:rsidRPr="00000000" w14:paraId="00000108">
      <w:pPr>
        <w:pStyle w:val="Heading2"/>
        <w:keepNext w:val="1"/>
        <w:spacing w:after="80" w:before="280" w:lineRule="auto"/>
        <w:jc w:val="both"/>
        <w:rPr>
          <w:rFonts w:ascii="Poppins" w:cs="Poppins" w:eastAsia="Poppins" w:hAnsi="Poppins"/>
          <w:b w:val="0"/>
          <w:bCs w:val="0"/>
          <w:color w:val="1a1a1a"/>
          <w:sz w:val="22"/>
          <w:szCs w:val="22"/>
        </w:rPr>
      </w:pPr>
      <w:bookmarkStart w:colFirst="0" w:colLast="0" w:name="_heading=h.ivbymwbu16xg" w:id="26"/>
      <w:bookmarkEnd w:id="26"/>
      <w:r w:rsidDel="00000000" w:rsidR="00000000" w:rsidRPr="00000000">
        <w:rPr>
          <w:rFonts w:ascii="Poppins" w:cs="Poppins" w:eastAsia="Poppins" w:hAnsi="Poppins"/>
          <w:b w:val="0"/>
          <w:bCs w:val="0"/>
          <w:color w:val="1a1a1a"/>
          <w:sz w:val="22"/>
          <w:szCs w:val="22"/>
          <w:rtl w:val="0"/>
        </w:rPr>
        <w:t xml:space="preserve">Cette section présente une analyse comparative à trois niveaux : une comparaison transnationale des sept pays sur les quatre dimensions analytiques ; une analyse intra-groupe des pays partenaires d’Afrique subsaharienne ; et une analyse intra-groupe des pays partenaires européens, concluant par une synthèse des enseignements pour le transfert de connaissances de l’Europe vers l’Afrique subsaharienne.</w:t>
      </w:r>
    </w:p>
    <w:p w:rsidR="00000000" w:rsidDel="00000000" w:rsidP="00000000" w:rsidRDefault="00000000" w:rsidRPr="00000000" w14:paraId="00000109">
      <w:pPr>
        <w:pStyle w:val="Heading2"/>
        <w:keepNext w:val="1"/>
        <w:spacing w:after="80" w:before="280" w:lineRule="auto"/>
        <w:rPr>
          <w:rFonts w:ascii="Poppins" w:cs="Poppins" w:eastAsia="Poppins" w:hAnsi="Poppins"/>
          <w:color w:val="b7c3a1"/>
        </w:rPr>
      </w:pPr>
      <w:r w:rsidDel="00000000" w:rsidR="00000000" w:rsidRPr="00000000">
        <w:rPr>
          <w:rFonts w:ascii="Poppins" w:cs="Poppins" w:eastAsia="Poppins" w:hAnsi="Poppins"/>
          <w:color w:val="b7c3a1"/>
          <w:rtl w:val="0"/>
        </w:rPr>
        <w:t xml:space="preserve">4.1 Comparaison transnationale</w:t>
      </w:r>
    </w:p>
    <w:p w:rsidR="00000000" w:rsidDel="00000000" w:rsidP="00000000" w:rsidRDefault="00000000" w:rsidRPr="00000000" w14:paraId="0000010A">
      <w:pPr>
        <w:pStyle w:val="Heading3"/>
        <w:keepNext w:val="1"/>
        <w:spacing w:after="60" w:before="200" w:lineRule="auto"/>
        <w:rPr>
          <w:rFonts w:ascii="Poppins" w:cs="Poppins" w:eastAsia="Poppins" w:hAnsi="Poppins"/>
          <w:color w:val="2f6b3a"/>
        </w:rPr>
      </w:pPr>
      <w:bookmarkStart w:colFirst="0" w:colLast="0" w:name="_heading=h.r4gdjcqhf0r8" w:id="27"/>
      <w:bookmarkEnd w:id="27"/>
      <w:r w:rsidDel="00000000" w:rsidR="00000000" w:rsidRPr="00000000">
        <w:rPr>
          <w:rFonts w:ascii="Poppins" w:cs="Poppins" w:eastAsia="Poppins" w:hAnsi="Poppins"/>
          <w:color w:val="2f6b3a"/>
          <w:rtl w:val="0"/>
        </w:rPr>
        <w:t xml:space="preserve">4.1.1 Disponibilité et accessibilité des ressources</w:t>
      </w:r>
    </w:p>
    <w:p w:rsidR="00000000" w:rsidDel="00000000" w:rsidP="00000000" w:rsidRDefault="00000000" w:rsidRPr="00000000" w14:paraId="0000010B">
      <w:pPr>
        <w:spacing w:after="100" w:before="60" w:lineRule="auto"/>
        <w:jc w:val="both"/>
        <w:rPr>
          <w:rFonts w:ascii="Poppins" w:cs="Poppins" w:eastAsia="Poppins" w:hAnsi="Poppins"/>
        </w:rPr>
      </w:pPr>
      <w:r w:rsidDel="00000000" w:rsidR="00000000" w:rsidRPr="00000000">
        <w:rPr>
          <w:rFonts w:ascii="Poppins" w:cs="Poppins" w:eastAsia="Poppins" w:hAnsi="Poppins"/>
          <w:color w:val="1a1a1a"/>
          <w:rtl w:val="0"/>
        </w:rPr>
        <w:t xml:space="preserve">Un schéma cohérent apparaît dans les sept pays : les ressources de participation les plus accessibles pour les jeunes ruraux sont basées sur la communauté plutôt que créées par l’État. Le Kgotla au Botswana, les associations de classes d’âge au Nigeria, les groupes scouts à Madagascar, les réseaux YUVA à Maurice, les Groupes de soutien locaux YEPP en Italie, le RYP basé sur le LAG en Roumanie et les initiatives communautaires en Grèce sont les outils que les jeunes ruraux utilisent réellement et auxquels ils font confiance. Cette convergence transnationale a une implication directe pour la conception : les Parlements ruraux des jeunes efficaces doivent s’appuyer sur la confiance et la légitimité des structures communautaires existantes, et non être superposés à celles-ci comme des institutions formelles conçues de l’extérieur.</w:t>
      </w:r>
      <w:r w:rsidDel="00000000" w:rsidR="00000000" w:rsidRPr="00000000">
        <w:rPr>
          <w:rtl w:val="0"/>
        </w:rPr>
      </w:r>
    </w:p>
    <w:p w:rsidR="00000000" w:rsidDel="00000000" w:rsidP="00000000" w:rsidRDefault="00000000" w:rsidRPr="00000000" w14:paraId="0000010C">
      <w:pPr>
        <w:pStyle w:val="Heading3"/>
        <w:keepNext w:val="1"/>
        <w:spacing w:after="60" w:before="200" w:lineRule="auto"/>
        <w:rPr>
          <w:rFonts w:ascii="Poppins" w:cs="Poppins" w:eastAsia="Poppins" w:hAnsi="Poppins"/>
          <w:color w:val="2f6b3a"/>
        </w:rPr>
      </w:pPr>
      <w:bookmarkStart w:colFirst="0" w:colLast="0" w:name="_heading=h.fgr6utyvs2k9" w:id="28"/>
      <w:bookmarkEnd w:id="28"/>
      <w:r w:rsidDel="00000000" w:rsidR="00000000" w:rsidRPr="00000000">
        <w:rPr>
          <w:rFonts w:ascii="Poppins" w:cs="Poppins" w:eastAsia="Poppins" w:hAnsi="Poppins"/>
          <w:color w:val="2f6b3a"/>
          <w:rtl w:val="0"/>
        </w:rPr>
        <w:t xml:space="preserve">4.1.2 Cadres juridiques et politiques : permissifs sans être prescriptifs</w:t>
      </w:r>
    </w:p>
    <w:p w:rsidR="00000000" w:rsidDel="00000000" w:rsidP="00000000" w:rsidRDefault="00000000" w:rsidRPr="00000000" w14:paraId="0000010D">
      <w:pPr>
        <w:spacing w:after="100" w:before="60" w:lineRule="auto"/>
        <w:jc w:val="both"/>
        <w:rPr>
          <w:rFonts w:ascii="Poppins" w:cs="Poppins" w:eastAsia="Poppins" w:hAnsi="Poppins"/>
        </w:rPr>
      </w:pPr>
      <w:r w:rsidDel="00000000" w:rsidR="00000000" w:rsidRPr="00000000">
        <w:rPr>
          <w:rFonts w:ascii="Poppins" w:cs="Poppins" w:eastAsia="Poppins" w:hAnsi="Poppins"/>
          <w:color w:val="1a1a1a"/>
          <w:rtl w:val="0"/>
        </w:rPr>
        <w:t xml:space="preserve">Les sept pays opèrent dans des cadres reconnaissant formellement les droits de participation des jeunes. La caractéristique commune déterminante est qu’ils sont permissifs plutôt que prescriptifs : ils ouvrent des espaces de participation des jeunes sans les mandater, les financer ni les faire appliquer. Cette conception crée une discrétion de mise en œuvre qui désavantage systématiquement les jeunes ruraux, qui sont les plus éloignés des centres politiques et administratifs et disposent du moins de ressources pour plaider en faveur de leur propre inclusion. La Stratégie nationale pour la jeunesse 2024-2027 de la Roumanie représente l’accent rural le plus fort du consortium ; la plupart des autres cadres font peu ou pas référence spécifiquement aux jeunes ruraux comme population distincte ayant des besoins structurels spécifiques.</w:t>
      </w:r>
      <w:r w:rsidDel="00000000" w:rsidR="00000000" w:rsidRPr="00000000">
        <w:rPr>
          <w:rtl w:val="0"/>
        </w:rPr>
      </w:r>
    </w:p>
    <w:p w:rsidR="00000000" w:rsidDel="00000000" w:rsidP="00000000" w:rsidRDefault="00000000" w:rsidRPr="00000000" w14:paraId="0000010E">
      <w:pPr>
        <w:pStyle w:val="Heading3"/>
        <w:keepNext w:val="1"/>
        <w:spacing w:after="60" w:before="200" w:lineRule="auto"/>
        <w:rPr>
          <w:rFonts w:ascii="Poppins" w:cs="Poppins" w:eastAsia="Poppins" w:hAnsi="Poppins"/>
          <w:color w:val="2f6b3a"/>
        </w:rPr>
      </w:pPr>
      <w:bookmarkStart w:colFirst="0" w:colLast="0" w:name="_heading=h.36d6o0ehtz8r" w:id="29"/>
      <w:bookmarkEnd w:id="29"/>
      <w:r w:rsidDel="00000000" w:rsidR="00000000" w:rsidRPr="00000000">
        <w:rPr>
          <w:rFonts w:ascii="Poppins" w:cs="Poppins" w:eastAsia="Poppins" w:hAnsi="Poppins"/>
          <w:color w:val="2f6b3a"/>
          <w:rtl w:val="0"/>
        </w:rPr>
        <w:t xml:space="preserve">4.1.3 Lacunes universelles : présentes dans les sept pays</w:t>
      </w:r>
    </w:p>
    <w:p w:rsidR="00000000" w:rsidDel="00000000" w:rsidP="00000000" w:rsidRDefault="00000000" w:rsidRPr="00000000" w14:paraId="0000010F">
      <w:pPr>
        <w:spacing w:after="100" w:before="60" w:lineRule="auto"/>
        <w:jc w:val="both"/>
        <w:rPr>
          <w:rFonts w:ascii="Poppins" w:cs="Poppins" w:eastAsia="Poppins" w:hAnsi="Poppins"/>
          <w:color w:val="1a1a1a"/>
        </w:rPr>
      </w:pPr>
      <w:r w:rsidDel="00000000" w:rsidR="00000000" w:rsidRPr="00000000">
        <w:rPr>
          <w:rFonts w:ascii="Poppins" w:cs="Poppins" w:eastAsia="Poppins" w:hAnsi="Poppins"/>
          <w:color w:val="1a1a1a"/>
          <w:rtl w:val="0"/>
        </w:rPr>
        <w:t xml:space="preserve">L’analyse transnationale des lacunes révèle un ensemble de défis universels dans les sept pays partenaires. La participation est consultative plutôt qu’influente sur la décision. Les boucles de retour d’information entre les contributions des jeunes et la réponse institutionnelle sont faibles ou absentes. Les fractures de participation rural-urbain désavantagent systématiquement les jeunes ruraux. La participation des jeunes est chroniquement sous-financée par rapport aux engagements politiques déclarés. L’engagement est épisodique et fondé sur des projets plutôt que durable. Les normes intergénérationnelles marginalisent la voix des jeunes, et l’exclusion de genre des jeunes femmes aggrave cette situation. Les fractures numériques limitent la portée des outils numériques dans les zones rurales. Il n’existe dans aucun pays partenaire de structures obligatoires de gouvernance des jeunes ruraux dotées d’un financement public dédié. L’appropriation par les jeunes des processus politiques qui affectent leur vie reste limitée partout.</w:t>
      </w:r>
    </w:p>
    <w:p w:rsidR="00000000" w:rsidDel="00000000" w:rsidP="00000000" w:rsidRDefault="00000000" w:rsidRPr="00000000" w14:paraId="00000110">
      <w:pPr>
        <w:spacing w:after="100" w:before="60" w:lineRule="auto"/>
        <w:jc w:val="both"/>
        <w:rPr>
          <w:rFonts w:ascii="Poppins" w:cs="Poppins" w:eastAsia="Poppins" w:hAnsi="Poppins"/>
          <w:color w:val="1a1a1a"/>
        </w:rPr>
      </w:pPr>
      <w:r w:rsidDel="00000000" w:rsidR="00000000" w:rsidRPr="00000000">
        <w:rPr>
          <w:rFonts w:ascii="Poppins" w:cs="Poppins" w:eastAsia="Poppins" w:hAnsi="Poppins"/>
          <w:color w:val="1a1a1a"/>
          <w:rtl w:val="0"/>
        </w:rPr>
        <w:t xml:space="preserve">L’universalité de ces lacunes dans les pays partenaires d’Afrique subsaharienne et d’Europe, à travers différents niveaux de revenu, traditions démocratiques et architectures institutionnelles, constitue en soi une conclusion analytiquement importante. Elle démontre que l’exclusion des jeunes ruraux d’une participation significative n’est pas une pathologie du sous-développement, mais une caractéristique structurelle de systèmes de gouvernance qui n’ont pas été conçus pour inclure les jeunes ruraux.</w:t>
      </w:r>
    </w:p>
    <w:p w:rsidR="00000000" w:rsidDel="00000000" w:rsidP="00000000" w:rsidRDefault="00000000" w:rsidRPr="00000000" w14:paraId="00000111">
      <w:pPr>
        <w:pStyle w:val="Heading2"/>
        <w:keepNext w:val="1"/>
        <w:spacing w:after="80" w:before="280" w:lineRule="auto"/>
        <w:rPr>
          <w:rFonts w:ascii="Poppins" w:cs="Poppins" w:eastAsia="Poppins" w:hAnsi="Poppins"/>
          <w:color w:val="b7c3a1"/>
        </w:rPr>
      </w:pPr>
      <w:bookmarkStart w:colFirst="0" w:colLast="0" w:name="_heading=h.h2zevcswoxs3" w:id="30"/>
      <w:bookmarkEnd w:id="30"/>
      <w:r w:rsidDel="00000000" w:rsidR="00000000" w:rsidRPr="00000000">
        <w:rPr>
          <w:rFonts w:ascii="Poppins" w:cs="Poppins" w:eastAsia="Poppins" w:hAnsi="Poppins"/>
          <w:color w:val="b7c3a1"/>
          <w:rtl w:val="0"/>
        </w:rPr>
        <w:t xml:space="preserve">4.2 Afrique subsaharienne : analyse intra-groupe</w:t>
      </w:r>
    </w:p>
    <w:p w:rsidR="00000000" w:rsidDel="00000000" w:rsidP="00000000" w:rsidRDefault="00000000" w:rsidRPr="00000000" w14:paraId="00000112">
      <w:pPr>
        <w:spacing w:after="100" w:before="60" w:lineRule="auto"/>
        <w:jc w:val="both"/>
        <w:rPr>
          <w:rFonts w:ascii="Poppins" w:cs="Poppins" w:eastAsia="Poppins" w:hAnsi="Poppins"/>
          <w:b w:val="1"/>
          <w:bCs w:val="1"/>
          <w:i w:val="1"/>
          <w:iCs w:val="1"/>
          <w:color w:val="1a1a1a"/>
          <w:sz w:val="24"/>
          <w:szCs w:val="24"/>
        </w:rPr>
      </w:pPr>
      <w:r w:rsidDel="00000000" w:rsidR="00000000" w:rsidRPr="00000000">
        <w:rPr>
          <w:rFonts w:ascii="Poppins" w:cs="Poppins" w:eastAsia="Poppins" w:hAnsi="Poppins"/>
          <w:b w:val="1"/>
          <w:bCs w:val="1"/>
          <w:i w:val="1"/>
          <w:iCs w:val="1"/>
          <w:color w:val="1a1a1a"/>
          <w:sz w:val="24"/>
          <w:szCs w:val="24"/>
          <w:rtl w:val="0"/>
        </w:rPr>
        <w:t xml:space="preserve">Le désalignement structurel au cœur de l’exclusion des jeunes ruraux en Afrique subsaharienne</w:t>
      </w:r>
    </w:p>
    <w:p w:rsidR="00000000" w:rsidDel="00000000" w:rsidP="00000000" w:rsidRDefault="00000000" w:rsidRPr="00000000" w14:paraId="00000113">
      <w:pPr>
        <w:spacing w:after="100" w:before="60" w:lineRule="auto"/>
        <w:jc w:val="both"/>
        <w:rPr>
          <w:rFonts w:ascii="Poppins" w:cs="Poppins" w:eastAsia="Poppins" w:hAnsi="Poppins"/>
          <w:color w:val="1a1a1a"/>
        </w:rPr>
      </w:pPr>
      <w:r w:rsidDel="00000000" w:rsidR="00000000" w:rsidRPr="00000000">
        <w:rPr>
          <w:rFonts w:ascii="Poppins" w:cs="Poppins" w:eastAsia="Poppins" w:hAnsi="Poppins"/>
          <w:color w:val="1a1a1a"/>
          <w:rtl w:val="0"/>
        </w:rPr>
        <w:t xml:space="preserve">Les quatre pays partenaires d’Afrique subsaharienne partagent un défi structurel global qui transcende leurs différences considérables de taille, de niveau de revenu, d’architecture de gouvernance et de contexte culturel : le désalignement entre les communautés où vivent les jeunes ruraux et les institutions qui détiennent l’autorité formelle et les ressources. Les structures formelles de participation sont conçues au niveau national ou étatique, administrées depuis les centres administratifs et financées par des cycles budgétaires répondant aux priorités politiques des capitales. La gouvernance quotidienne de la vie des jeunes ruraux est toutefois principalement façonnée par des institutions locales et coutumières, des assemblées traditionnelles, des associations d’âge, des organisations de développement communautaire, des organismes religieux et des réseaux informels, qui portent une profonde légitimité communautaire mais manquent d’autorité statutaire et de financement public prévisible. Ce désalignement produit le schéma caractéristique documenté dans les quatre rapports nationaux d’Afrique subsaharienne : une voix sans pouvoir au niveau communautaire, et un pouvoir sans proximité au niveau institutionnel formel. Combler cet écart constitue le défi central de conception pour chaque RYP EMPOWER+.</w:t>
      </w:r>
    </w:p>
    <w:p w:rsidR="00000000" w:rsidDel="00000000" w:rsidP="00000000" w:rsidRDefault="00000000" w:rsidRPr="00000000" w14:paraId="00000114">
      <w:pPr>
        <w:spacing w:after="100" w:before="60" w:lineRule="auto"/>
        <w:jc w:val="both"/>
        <w:rPr>
          <w:rFonts w:ascii="Poppins" w:cs="Poppins" w:eastAsia="Poppins" w:hAnsi="Poppins"/>
          <w:color w:val="1a1a1a"/>
        </w:rPr>
      </w:pPr>
      <w:r w:rsidDel="00000000" w:rsidR="00000000" w:rsidRPr="00000000">
        <w:rPr>
          <w:rtl w:val="0"/>
        </w:rPr>
      </w:r>
    </w:p>
    <w:p w:rsidR="00000000" w:rsidDel="00000000" w:rsidP="00000000" w:rsidRDefault="00000000" w:rsidRPr="00000000" w14:paraId="00000115">
      <w:pPr>
        <w:spacing w:after="100" w:before="60" w:lineRule="auto"/>
        <w:jc w:val="both"/>
        <w:rPr>
          <w:rFonts w:ascii="Poppins" w:cs="Poppins" w:eastAsia="Poppins" w:hAnsi="Poppins"/>
          <w:color w:val="1a1a1a"/>
        </w:rPr>
      </w:pPr>
      <w:r w:rsidDel="00000000" w:rsidR="00000000" w:rsidRPr="00000000">
        <w:rPr>
          <w:rtl w:val="0"/>
        </w:rPr>
      </w:r>
    </w:p>
    <w:p w:rsidR="00000000" w:rsidDel="00000000" w:rsidP="00000000" w:rsidRDefault="00000000" w:rsidRPr="00000000" w14:paraId="00000116">
      <w:pPr>
        <w:spacing w:after="100" w:before="60" w:lineRule="auto"/>
        <w:jc w:val="both"/>
        <w:rPr>
          <w:rFonts w:ascii="Poppins" w:cs="Poppins" w:eastAsia="Poppins" w:hAnsi="Poppins"/>
          <w:b w:val="1"/>
          <w:bCs w:val="1"/>
          <w:i w:val="1"/>
          <w:iCs w:val="1"/>
          <w:color w:val="1a1a1a"/>
          <w:sz w:val="24"/>
          <w:szCs w:val="24"/>
        </w:rPr>
      </w:pPr>
      <w:r w:rsidDel="00000000" w:rsidR="00000000" w:rsidRPr="00000000">
        <w:rPr>
          <w:rFonts w:ascii="Poppins" w:cs="Poppins" w:eastAsia="Poppins" w:hAnsi="Poppins"/>
          <w:b w:val="1"/>
          <w:bCs w:val="1"/>
          <w:i w:val="1"/>
          <w:iCs w:val="1"/>
          <w:color w:val="1a1a1a"/>
          <w:sz w:val="24"/>
          <w:szCs w:val="24"/>
          <w:rtl w:val="0"/>
        </w:rPr>
        <w:t xml:space="preserve">Variation au niveau des pays dans la structure partagée</w:t>
      </w:r>
    </w:p>
    <w:p w:rsidR="00000000" w:rsidDel="00000000" w:rsidP="00000000" w:rsidRDefault="00000000" w:rsidRPr="00000000" w14:paraId="00000117">
      <w:pPr>
        <w:spacing w:after="100" w:before="60" w:lineRule="auto"/>
        <w:jc w:val="both"/>
        <w:rPr>
          <w:rFonts w:ascii="Poppins" w:cs="Poppins" w:eastAsia="Poppins" w:hAnsi="Poppins"/>
          <w:color w:val="1a1a1a"/>
        </w:rPr>
      </w:pPr>
      <w:r w:rsidDel="00000000" w:rsidR="00000000" w:rsidRPr="00000000">
        <w:rPr>
          <w:rFonts w:ascii="Poppins" w:cs="Poppins" w:eastAsia="Poppins" w:hAnsi="Poppins"/>
          <w:color w:val="1a1a1a"/>
          <w:rtl w:val="0"/>
        </w:rPr>
        <w:t xml:space="preserve">Dans le cadre de ce défi structurel partagé, la variation au niveau des pays parmi les quatre partenaires d’Afrique subsaharienne est analytiquement significative et a des implications directes pour les priorités de conception des RYPs. Maurice se situe à une extrémité du spectre : elle possède l’écosystème institutionnel le plus développé, la plus grande densité de structures formelles accessibles, notamment des Conseils régionaux de la jeunesse dans chaque district, et l’écart de mise en œuvre le plus réduit par rapport aux engagements de son cadre politique. Le principal défi de conception à Maurice n’est pas la construction d’institutions, mais la réforme des structures existantes pour supprimer la dépendance à l’affiliation qui exclut les jeunes ruraux indépendants et pour relier plus directement les agendas de participation aux questions des moyens de subsistance ruraux. Le Nigeria se situe à l’extrémité opposée en termes de complexité institutionnelle : il possède de loin la plus vaste architecture formelle de participation du consortium, mais aussi l’écart de mise en œuvre le plus sévère, la crise de financement la plus aiguë et la fragmentation la plus prononcée entre les structures formelles et les réalités communautaires rurales. Le principal défi de conception au Nigeria n’est pas de créer de nouvelles structures, mais de légitimer, financer et connecter les structures communautaires existantes à l’autorité formelle de gouvernance. Le Botswana occupe une position intermédiaire intéressante sur le plan analytique, le système Kgotla fournissant un espace de délibération culturellement légitime unique, sans équivalent dans les autres pays partenaires, mais avec des obstacles significatifs dans les domaines de la redevabilité par retour d’information, du changement des normes intergénérationnelles et de l’égalité numérique. Le principal défi de conception au Botswana est de transformer le Kgotla d’un espace de consultation unidirectionnel en un véritable forum de redevabilité. Madagascar présente les vulnérabilités structurelles les plus aiguës des quatre : l’infrastructure institutionnelle la plus limitée, les obstacles économiques à la participation les plus sévères et la capacité de mise en œuvre de l’État la plus faible. Pourtant, elle possède également l’énergie civique locale documentée la plus forte, les traditions associatives les plus dynamiques dans l’andrimasompokonolona, les mouvements scouts et les organisations religieuses de jeunes, ainsi que le mandat le plus unanime pour le développement des RYPs de tout le consortium. Le principal défi de conception à Madagascar n’est pas de générer la motivation des jeunes, mais de créer les conditions économiques, informationnelles et institutionnelles qui permettent à cette motivation de se traduire en engagement civique durable.</w:t>
      </w:r>
    </w:p>
    <w:p w:rsidR="00000000" w:rsidDel="00000000" w:rsidP="00000000" w:rsidRDefault="00000000" w:rsidRPr="00000000" w14:paraId="00000118">
      <w:pPr>
        <w:spacing w:after="100" w:before="60" w:lineRule="auto"/>
        <w:jc w:val="both"/>
        <w:rPr>
          <w:rFonts w:ascii="Poppins" w:cs="Poppins" w:eastAsia="Poppins" w:hAnsi="Poppins"/>
          <w:b w:val="1"/>
          <w:bCs w:val="1"/>
          <w:i w:val="1"/>
          <w:iCs w:val="1"/>
          <w:color w:val="1a1a1a"/>
          <w:sz w:val="24"/>
          <w:szCs w:val="24"/>
        </w:rPr>
      </w:pPr>
      <w:r w:rsidDel="00000000" w:rsidR="00000000" w:rsidRPr="00000000">
        <w:rPr>
          <w:rFonts w:ascii="Poppins" w:cs="Poppins" w:eastAsia="Poppins" w:hAnsi="Poppins"/>
          <w:b w:val="1"/>
          <w:bCs w:val="1"/>
          <w:i w:val="1"/>
          <w:iCs w:val="1"/>
          <w:color w:val="1a1a1a"/>
          <w:sz w:val="24"/>
          <w:szCs w:val="24"/>
          <w:rtl w:val="0"/>
        </w:rPr>
        <w:t xml:space="preserve">Priorités communes de conception pour l’Afrique subsaharienne</w:t>
      </w:r>
    </w:p>
    <w:p w:rsidR="00000000" w:rsidDel="00000000" w:rsidP="00000000" w:rsidRDefault="00000000" w:rsidRPr="00000000" w14:paraId="00000119">
      <w:pPr>
        <w:spacing w:after="100" w:before="60" w:lineRule="auto"/>
        <w:jc w:val="both"/>
        <w:rPr>
          <w:rFonts w:ascii="Poppins" w:cs="Poppins" w:eastAsia="Poppins" w:hAnsi="Poppins"/>
          <w:color w:val="1a1a1a"/>
        </w:rPr>
      </w:pPr>
      <w:r w:rsidDel="00000000" w:rsidR="00000000" w:rsidRPr="00000000">
        <w:rPr>
          <w:rFonts w:ascii="Poppins" w:cs="Poppins" w:eastAsia="Poppins" w:hAnsi="Poppins"/>
          <w:color w:val="1a1a1a"/>
          <w:rtl w:val="0"/>
        </w:rPr>
        <w:t xml:space="preserve">Dans les quatre contextes d’Afrique subsaharienne, cinq priorités de conception ressortent de manière cohérente de l’analyse intra-groupe. Premièrement, les RYPs doivent être ancrés au niveau de la gouvernance locale, là où la légitimité communautaire et l’autorité institutionnelle peuvent être le plus facilement combinées : le district au Botswana, la LGA au Nigeria, le territoire du conseil régional à Maurice, la commune à Madagascar. Deuxièmement, les structures d’autorité traditionnelles et communautaires doivent être engagées comme partenaires formels dans la gouvernance des RYPs dès le départ, et non comme soutiens externes approchés une fois la conception terminée. Troisièmement, les obstacles économiques à la participation doivent être traités par des dispositions de ressources explicites et budgétées, notamment des allocations de transport, des indemnités journalières et du crédit de communication, en reconnaissant qu’il s’agit de conditions structurelles préalables plutôt que de facilités administratives. Quatrièmement, les mécanismes de redevabilité par retour d’information doivent être intégrés à chaque conception de RYP comme exigences constitutionnelles : les autorités qui interagissent avec les résultats des RYPs doivent être formellement tenues de répondre dans des délais définis, avec des explications publiques sur ce qui a été accepté, rejeté et pourquoi. Cinquièmement, l’inclusion des jeunes les plus exclus — jeunes femmes, jeunes en situation de handicap, jeunes ayant quitté l’école et jeunes des communautés les plus reculées — doit être intégrée dans la conception des RYPs sous forme de quotas applicables plutôt que d’engagements aspirationnels, en reconnaissant que l’inclusion volontaire produit systématiquement des résultats insuffisants dans chaque contexte d’Afrique subsaharienne documenté.</w:t>
      </w:r>
    </w:p>
    <w:p w:rsidR="00000000" w:rsidDel="00000000" w:rsidP="00000000" w:rsidRDefault="00000000" w:rsidRPr="00000000" w14:paraId="0000011A">
      <w:pPr>
        <w:spacing w:after="100" w:before="60" w:lineRule="auto"/>
        <w:jc w:val="both"/>
        <w:rPr>
          <w:rFonts w:ascii="Poppins" w:cs="Poppins" w:eastAsia="Poppins" w:hAnsi="Poppins"/>
          <w:color w:val="1a1a1a"/>
        </w:rPr>
      </w:pPr>
      <w:r w:rsidDel="00000000" w:rsidR="00000000" w:rsidRPr="00000000">
        <w:rPr>
          <w:rFonts w:ascii="Poppins" w:cs="Poppins" w:eastAsia="Poppins" w:hAnsi="Poppins"/>
          <w:color w:val="1a1a1a"/>
          <w:rtl w:val="0"/>
        </w:rPr>
        <w:t xml:space="preserve">Principe de conception pour l’Afrique subsaharienne : les Parlements ruraux des jeunes en Afrique subsaharienne doivent être enracinés dans la communauté, économiquement inclusifs, orientés vers la redevabilité et spécifiquement conçus pour l’accessibilité rurale dès le départ. Ils ne peuvent pas être des structures nationales adaptées vers le bas ; ils doivent être des structures locales connectées vers le haut.</w:t>
      </w:r>
    </w:p>
    <w:p w:rsidR="00000000" w:rsidDel="00000000" w:rsidP="00000000" w:rsidRDefault="00000000" w:rsidRPr="00000000" w14:paraId="0000011B">
      <w:pPr>
        <w:pStyle w:val="Heading2"/>
        <w:keepNext w:val="1"/>
        <w:spacing w:after="80" w:before="280" w:lineRule="auto"/>
        <w:rPr>
          <w:rFonts w:ascii="Poppins" w:cs="Poppins" w:eastAsia="Poppins" w:hAnsi="Poppins"/>
          <w:color w:val="b7c3a1"/>
        </w:rPr>
      </w:pPr>
      <w:bookmarkStart w:colFirst="0" w:colLast="0" w:name="_heading=h.t2bvivfq7tju" w:id="31"/>
      <w:bookmarkEnd w:id="31"/>
      <w:r w:rsidDel="00000000" w:rsidR="00000000" w:rsidRPr="00000000">
        <w:rPr>
          <w:rFonts w:ascii="Poppins" w:cs="Poppins" w:eastAsia="Poppins" w:hAnsi="Poppins"/>
          <w:color w:val="b7c3a1"/>
          <w:rtl w:val="0"/>
        </w:rPr>
        <w:t xml:space="preserve">4.3 Europe : analyse intra-groupe</w:t>
      </w:r>
    </w:p>
    <w:p w:rsidR="00000000" w:rsidDel="00000000" w:rsidP="00000000" w:rsidRDefault="00000000" w:rsidRPr="00000000" w14:paraId="0000011C">
      <w:pPr>
        <w:spacing w:after="100" w:before="60" w:lineRule="auto"/>
        <w:jc w:val="both"/>
        <w:rPr>
          <w:rFonts w:ascii="Poppins" w:cs="Poppins" w:eastAsia="Poppins" w:hAnsi="Poppins"/>
          <w:b w:val="1"/>
          <w:bCs w:val="1"/>
          <w:i w:val="1"/>
          <w:iCs w:val="1"/>
          <w:color w:val="1a1a1a"/>
          <w:sz w:val="24"/>
          <w:szCs w:val="24"/>
        </w:rPr>
      </w:pPr>
      <w:r w:rsidDel="00000000" w:rsidR="00000000" w:rsidRPr="00000000">
        <w:rPr>
          <w:rFonts w:ascii="Poppins" w:cs="Poppins" w:eastAsia="Poppins" w:hAnsi="Poppins"/>
          <w:b w:val="1"/>
          <w:bCs w:val="1"/>
          <w:i w:val="1"/>
          <w:iCs w:val="1"/>
          <w:color w:val="1a1a1a"/>
          <w:sz w:val="24"/>
          <w:szCs w:val="24"/>
          <w:rtl w:val="0"/>
        </w:rPr>
        <w:t xml:space="preserve">La contribution européenne : méthodologie, expérience et leçons structurelles</w:t>
      </w:r>
    </w:p>
    <w:p w:rsidR="00000000" w:rsidDel="00000000" w:rsidP="00000000" w:rsidRDefault="00000000" w:rsidRPr="00000000" w14:paraId="0000011D">
      <w:pPr>
        <w:spacing w:after="100" w:before="60" w:lineRule="auto"/>
        <w:jc w:val="both"/>
        <w:rPr>
          <w:rFonts w:ascii="Poppins" w:cs="Poppins" w:eastAsia="Poppins" w:hAnsi="Poppins"/>
          <w:color w:val="1a1a1a"/>
        </w:rPr>
      </w:pPr>
      <w:r w:rsidDel="00000000" w:rsidR="00000000" w:rsidRPr="00000000">
        <w:rPr>
          <w:rFonts w:ascii="Poppins" w:cs="Poppins" w:eastAsia="Poppins" w:hAnsi="Poppins"/>
          <w:color w:val="1a1a1a"/>
          <w:rtl w:val="0"/>
        </w:rPr>
        <w:t xml:space="preserve">Les trois pays partenaires européens contribuent à EMPOWER+ principalement comme sources de méthodologie transférable, de formats participatifs testés et d’expérience en conception institutionnelle développés à travers plusieurs cycles de projet et contextes de gouvernance. Leurs défis de participation sont structurellement similaires aux contextes d’Afrique subsaharienne à des égards importants, même s’ils sont nettement moins sévères en matière d’exclusion économique, de fragilité institutionnelle et de capacité de gouvernance. Tous trois opèrent dans le cadre commun de la Stratégie de l’UE en faveur de la jeunesse, ont accès à des instruments de financement structurels et de programme de l’UE, et ont développé des programmes de participation des jeunes dans un contexte d’engagements en faveur du droit à la participation soutenus par des cadres juridiques applicables. Le constat cohérent dans les trois pays partenaires européens — selon lequel la participation est principalement consultative sans être influente, les boucles de retour d’information sont faibles ou absentes, et les zones rurales sont systématiquement sous-desservies par des structures de participation conçues principalement pour des contextes urbains — constitue en soi une contribution analytique importante. Il démontre que les défis qu’EMPOWER+ traite en Afrique subsaharienne ne sont pas des pathologies du sous-développement ou de la faiblesse institutionnelle, mais des caractéristiques structurelles de systèmes de gouvernance qui n’ont pas été spécifiquement conçus pour inclure les jeunes ruraux, présentes même dans des démocraties européennes bien dotées en ressources.</w:t>
      </w:r>
    </w:p>
    <w:p w:rsidR="00000000" w:rsidDel="00000000" w:rsidP="00000000" w:rsidRDefault="00000000" w:rsidRPr="00000000" w14:paraId="0000011E">
      <w:pPr>
        <w:spacing w:after="100" w:before="60" w:lineRule="auto"/>
        <w:jc w:val="both"/>
        <w:rPr>
          <w:rFonts w:ascii="Poppins" w:cs="Poppins" w:eastAsia="Poppins" w:hAnsi="Poppins"/>
          <w:b w:val="1"/>
          <w:bCs w:val="1"/>
          <w:i w:val="1"/>
          <w:iCs w:val="1"/>
          <w:color w:val="1a1a1a"/>
          <w:sz w:val="24"/>
          <w:szCs w:val="24"/>
        </w:rPr>
      </w:pPr>
      <w:r w:rsidDel="00000000" w:rsidR="00000000" w:rsidRPr="00000000">
        <w:rPr>
          <w:rFonts w:ascii="Poppins" w:cs="Poppins" w:eastAsia="Poppins" w:hAnsi="Poppins"/>
          <w:b w:val="1"/>
          <w:bCs w:val="1"/>
          <w:i w:val="1"/>
          <w:iCs w:val="1"/>
          <w:color w:val="1a1a1a"/>
          <w:sz w:val="24"/>
          <w:szCs w:val="24"/>
          <w:rtl w:val="0"/>
        </w:rPr>
        <w:t xml:space="preserve">Roumanie : le contexte le plus directement pertinent</w:t>
      </w:r>
    </w:p>
    <w:p w:rsidR="00000000" w:rsidDel="00000000" w:rsidP="00000000" w:rsidRDefault="00000000" w:rsidRPr="00000000" w14:paraId="0000011F">
      <w:pPr>
        <w:spacing w:after="100" w:before="60" w:lineRule="auto"/>
        <w:jc w:val="both"/>
        <w:rPr>
          <w:rFonts w:ascii="Poppins" w:cs="Poppins" w:eastAsia="Poppins" w:hAnsi="Poppins"/>
          <w:color w:val="1a1a1a"/>
        </w:rPr>
      </w:pPr>
      <w:r w:rsidDel="00000000" w:rsidR="00000000" w:rsidRPr="00000000">
        <w:rPr>
          <w:rFonts w:ascii="Poppins" w:cs="Poppins" w:eastAsia="Poppins" w:hAnsi="Poppins"/>
          <w:color w:val="1a1a1a"/>
          <w:rtl w:val="0"/>
        </w:rPr>
        <w:t xml:space="preserve">Le contexte du LAG Napoca Porolissum en Roumanie est le plus directement pertinent sur le plan analytique parmi les trois partenaires européens, pour des raisons qui dépassent l’existence d’un modèle RYP testé. La dispersion géographique du territoire à travers plusieurs petites communes montagneuses, sa connectivité limitée en matière de transport, la forte pression de l’émigration des jeunes et le rôle du LAG comme structure de gouvernance médiatrice entre les communautés rurales dispersées et les institutions publiques régionales créent un ensemble de conditions qui partagent des caractéristiques structurelles importantes avec les contextes de gouvernance rurale en Afrique subsaharienne, même lorsque les niveaux de revenu, les traditions démocratiques et les environnements de financement de l’UE diffèrent fondamentalement. Les données roumaines démontrent plusieurs éléments directement pertinents pour l’Afrique subsaharienne. Une délibération structurée des jeunes ruraux peut fonctionner dans un territoire montagneux dispersé, limité en ressources et difficile géographiquement, si la méthodologie est conçue de manière appropriée et si l’infrastructure de facilitation est correctement financée. Le lien avec l’action communautaire, c’est-à-dire la connexion entre ce que les jeunes délibèrent et ce que les communautés font réellement, est le moteur le plus puissant de l’engagement participatif durable : lorsque les délégués RYP peuvent citer des campagnes environnementales, des événements culturels et des projets locaux issus de leurs délibérations, la motivation à poursuivre l’engagement est qualitativement différente de ce que peut générer tout processus de consultation. L’ancrage institutionnel fourni par la structure de gouvernance LAG, qui donne aux résultats du RYP une voie administrative vers la planification du développement territorial, est la caractéristique structurelle la plus importante du modèle roumain et celle qui exige la contextualisation la plus délibérée pour les contextes d’Afrique subsaharienne.</w:t>
      </w:r>
    </w:p>
    <w:p w:rsidR="00000000" w:rsidDel="00000000" w:rsidP="00000000" w:rsidRDefault="00000000" w:rsidRPr="00000000" w14:paraId="00000120">
      <w:pPr>
        <w:spacing w:after="100" w:before="60" w:lineRule="auto"/>
        <w:jc w:val="both"/>
        <w:rPr>
          <w:rFonts w:ascii="Poppins" w:cs="Poppins" w:eastAsia="Poppins" w:hAnsi="Poppins"/>
          <w:b w:val="1"/>
          <w:bCs w:val="1"/>
          <w:i w:val="1"/>
          <w:iCs w:val="1"/>
          <w:color w:val="1a1a1a"/>
          <w:sz w:val="24"/>
          <w:szCs w:val="24"/>
        </w:rPr>
      </w:pPr>
      <w:r w:rsidDel="00000000" w:rsidR="00000000" w:rsidRPr="00000000">
        <w:rPr>
          <w:rFonts w:ascii="Poppins" w:cs="Poppins" w:eastAsia="Poppins" w:hAnsi="Poppins"/>
          <w:b w:val="1"/>
          <w:bCs w:val="1"/>
          <w:i w:val="1"/>
          <w:iCs w:val="1"/>
          <w:color w:val="1a1a1a"/>
          <w:sz w:val="24"/>
          <w:szCs w:val="24"/>
          <w:rtl w:val="0"/>
        </w:rPr>
        <w:t xml:space="preserve">Italie : méthodologie d’autonomisation et limites des ressources</w:t>
      </w:r>
    </w:p>
    <w:p w:rsidR="00000000" w:rsidDel="00000000" w:rsidP="00000000" w:rsidRDefault="00000000" w:rsidRPr="00000000" w14:paraId="00000121">
      <w:pPr>
        <w:spacing w:after="100" w:before="60" w:lineRule="auto"/>
        <w:jc w:val="both"/>
        <w:rPr>
          <w:rFonts w:ascii="Poppins" w:cs="Poppins" w:eastAsia="Poppins" w:hAnsi="Poppins"/>
          <w:color w:val="1a1a1a"/>
        </w:rPr>
      </w:pPr>
      <w:r w:rsidDel="00000000" w:rsidR="00000000" w:rsidRPr="00000000">
        <w:rPr>
          <w:rFonts w:ascii="Poppins" w:cs="Poppins" w:eastAsia="Poppins" w:hAnsi="Poppins"/>
          <w:color w:val="1a1a1a"/>
          <w:rtl w:val="0"/>
        </w:rPr>
        <w:t xml:space="preserve">La contribution la plus significative de l’Italie est la méthodologie des Groupes de soutien locaux YEPP, un modèle d’autonomisation qui tire son efficacité non pas seulement de la conception institutionnelle, mais d’une combinaison particulière d’investissement relationnel à long terme, de véritable appropriation par les jeunes des budgets et des priorités, d’enracinement communautaire et d’engagement institutionnel durable à travers plusieurs cycles de projet. La leçon analytique de YEPP pour la conception des RYPs en Afrique subsaharienne est que les dimensions relationnelles et culturelles du soutien à la participation, souvent considérées comme des éléments souples et complémentaires de la conception des programmes, sont en réalité des déterminants structurels de l’efficacité. Les Groupes de soutien locaux YEPP réussissent là où d’autres programmes de participation des jeunes échouent dans les mêmes communautés principalement parce qu’ils donnent aux délégués jeunes un réel pouvoir décisionnel sur de véritables ressources, même modestes, et parce que la relation de facilitation est maintenue sur des années plutôt que sur des cycles de projet. Les données italiennes apportent également une leçon d’avertissement critique : le taux de chômage des jeunes en Sicile, de cinquante-trois virgule six pour cent, démontre que même des niveaux très élevés de soutien institutionnel formel et de financement de programmes sont insuffisants lorsque l’exclusion économique des jeunes est si sévère que l’engagement civique entre en concurrence avec la survie économique. Cette leçon est directement applicable aux contextes d’Afrique subsaharienne, où l’exclusion économique est encore plus sévère, et où la conception de RYPs qui ne traitent pas la dimension économique de la vie des jeunes parallèlement à la dimension civique rencontrera des limites structurelles de durabilité.</w:t>
      </w:r>
    </w:p>
    <w:p w:rsidR="00000000" w:rsidDel="00000000" w:rsidP="00000000" w:rsidRDefault="00000000" w:rsidRPr="00000000" w14:paraId="00000122">
      <w:pPr>
        <w:spacing w:after="100" w:before="60" w:lineRule="auto"/>
        <w:jc w:val="both"/>
        <w:rPr>
          <w:rFonts w:ascii="Poppins" w:cs="Poppins" w:eastAsia="Poppins" w:hAnsi="Poppins"/>
          <w:b w:val="1"/>
          <w:bCs w:val="1"/>
          <w:i w:val="1"/>
          <w:iCs w:val="1"/>
          <w:color w:val="1a1a1a"/>
          <w:sz w:val="24"/>
          <w:szCs w:val="24"/>
        </w:rPr>
      </w:pPr>
      <w:r w:rsidDel="00000000" w:rsidR="00000000" w:rsidRPr="00000000">
        <w:rPr>
          <w:rFonts w:ascii="Poppins" w:cs="Poppins" w:eastAsia="Poppins" w:hAnsi="Poppins"/>
          <w:b w:val="1"/>
          <w:bCs w:val="1"/>
          <w:i w:val="1"/>
          <w:iCs w:val="1"/>
          <w:color w:val="1a1a1a"/>
          <w:sz w:val="24"/>
          <w:szCs w:val="24"/>
          <w:rtl w:val="0"/>
        </w:rPr>
        <w:t xml:space="preserve">Grèce : intégration institutionnelle et déficit rural</w:t>
      </w:r>
    </w:p>
    <w:p w:rsidR="00000000" w:rsidDel="00000000" w:rsidP="00000000" w:rsidRDefault="00000000" w:rsidRPr="00000000" w14:paraId="00000123">
      <w:pPr>
        <w:spacing w:after="100" w:before="60" w:lineRule="auto"/>
        <w:jc w:val="both"/>
        <w:rPr>
          <w:rFonts w:ascii="Poppins" w:cs="Poppins" w:eastAsia="Poppins" w:hAnsi="Poppins"/>
          <w:color w:val="1a1a1a"/>
        </w:rPr>
      </w:pPr>
      <w:r w:rsidDel="00000000" w:rsidR="00000000" w:rsidRPr="00000000">
        <w:rPr>
          <w:rFonts w:ascii="Poppins" w:cs="Poppins" w:eastAsia="Poppins" w:hAnsi="Poppins"/>
          <w:color w:val="1a1a1a"/>
          <w:rtl w:val="0"/>
        </w:rPr>
        <w:t xml:space="preserve">La Grèce contribue avec le modèle du Conseil municipal des jeunes et son expérience largement documentée des défis liés au maintien des structures de participation des jeunes à travers les cycles électoraux et les périodes de financement. Le Conseil municipal des jeunes de Larissa fournit un modèle de référence pour l’intégration institutionnelle d’un organe délibératif de jeunes dans la gouvernance municipale, démontrant comment des groupes de travail thématiques, des voies administratives définies et un engagement soutenu sur des domaines spécifiques de politiques publiques peuvent transformer un forum de consultation en une véritable institution de gouvernance. Les données grecques apportent également une conclusion sobre sur la dimension rurale de la participation des jeunes, directement pertinente pour EMPOWER+ : même dans une démocratie européenne dotée d’un droit constitutionnel à la participation et d’un accès aux fonds structurels de l’UE, les Conseils municipaux des jeunes sont établis de manière inégale dans les municipalités rurales et font face à des défis endémiques de dépendance au financement par projet, d’épuisement des bénévoles et de faible intégration institutionnelle. L’écart entre l’architecture formelle de la participation des jeunes et la réalité pratique pour les jeunes ruraux que EMPOWER+ documente en Afrique subsaharienne est également présent, sous une forme structurellement analogue bien que moins sévère, dans les municipalités rurales des États membres de l’UE.</w:t>
      </w:r>
    </w:p>
    <w:p w:rsidR="00000000" w:rsidDel="00000000" w:rsidP="00000000" w:rsidRDefault="00000000" w:rsidRPr="00000000" w14:paraId="00000124">
      <w:pPr>
        <w:spacing w:after="100" w:before="60" w:lineRule="auto"/>
        <w:jc w:val="both"/>
        <w:rPr>
          <w:rFonts w:ascii="Poppins" w:cs="Poppins" w:eastAsia="Poppins" w:hAnsi="Poppins"/>
          <w:b w:val="1"/>
          <w:bCs w:val="1"/>
          <w:i w:val="1"/>
          <w:iCs w:val="1"/>
          <w:color w:val="1a1a1a"/>
          <w:sz w:val="24"/>
          <w:szCs w:val="24"/>
        </w:rPr>
      </w:pPr>
      <w:r w:rsidDel="00000000" w:rsidR="00000000" w:rsidRPr="00000000">
        <w:rPr>
          <w:rFonts w:ascii="Poppins" w:cs="Poppins" w:eastAsia="Poppins" w:hAnsi="Poppins"/>
          <w:b w:val="1"/>
          <w:bCs w:val="1"/>
          <w:i w:val="1"/>
          <w:iCs w:val="1"/>
          <w:color w:val="1a1a1a"/>
          <w:sz w:val="24"/>
          <w:szCs w:val="24"/>
          <w:rtl w:val="0"/>
        </w:rPr>
        <w:t xml:space="preserve">Leçons européennes transversales de conception</w:t>
      </w:r>
    </w:p>
    <w:p w:rsidR="00000000" w:rsidDel="00000000" w:rsidP="00000000" w:rsidRDefault="00000000" w:rsidRPr="00000000" w14:paraId="00000125">
      <w:pPr>
        <w:spacing w:after="100" w:before="60" w:lineRule="auto"/>
        <w:jc w:val="both"/>
        <w:rPr>
          <w:rFonts w:ascii="Poppins" w:cs="Poppins" w:eastAsia="Poppins" w:hAnsi="Poppins"/>
        </w:rPr>
      </w:pPr>
      <w:r w:rsidDel="00000000" w:rsidR="00000000" w:rsidRPr="00000000">
        <w:rPr>
          <w:rFonts w:ascii="Poppins" w:cs="Poppins" w:eastAsia="Poppins" w:hAnsi="Poppins"/>
          <w:color w:val="1a1a1a"/>
          <w:rtl w:val="0"/>
        </w:rPr>
        <w:t xml:space="preserve">Trois leçons européennes transversales de conception émergent de l’analyse intra-groupe. Premièrement, la durabilité est le défi central auquel font face tous les modèles européens de participation des jeunes, et la principale source d’échec de durabilité est le financement par projet plutôt que le financement institutionnel budgétisé. La transition d’une participation financée par projet vers une participation financée institutionnellement constitue le changement structurel le plus important que toute innovation en matière de participation des jeunes, européenne ou d’Afrique subsaharienne, doit accomplir pour durer au-delà de son cycle de projet fondateur. Deuxièmement, la dimension relationnelle du soutien à la participation — l’investissement dans la confiance, le renforcement de la confiance en soi et le développement des compétences civiques qui rendent la délibération formelle accessible aux jeunes marginalisés — exige un temps mesuré en années plutôt qu’en mois et ne peut être atteinte par des événements de formation ponctuels ou des exercices périodiques de consultation. Troisièmement, le lien entre ce que les jeunes délibèrent et ce que les processus de gouvernance font de ces délibérations est la caractéristique déterminante de tout modèle de participation : sans mécanisme visible de fermeture de la boucle de redevabilité, l’engagement durable est structurellement improbable, quelle que soit la qualité du processus délibératif lui-même.</w:t>
      </w:r>
      <w:r w:rsidDel="00000000" w:rsidR="00000000" w:rsidRPr="00000000">
        <w:rPr>
          <w:rtl w:val="0"/>
        </w:rPr>
      </w:r>
    </w:p>
    <w:p w:rsidR="00000000" w:rsidDel="00000000" w:rsidP="00000000" w:rsidRDefault="00000000" w:rsidRPr="00000000" w14:paraId="00000126">
      <w:pPr>
        <w:pStyle w:val="Heading2"/>
        <w:keepNext w:val="1"/>
        <w:spacing w:after="80" w:before="280" w:lineRule="auto"/>
        <w:rPr>
          <w:rFonts w:ascii="Poppins" w:cs="Poppins" w:eastAsia="Poppins" w:hAnsi="Poppins"/>
          <w:color w:val="b7c3a1"/>
        </w:rPr>
      </w:pPr>
      <w:bookmarkStart w:colFirst="0" w:colLast="0" w:name="_heading=h.bxiw04hv2n2y" w:id="32"/>
      <w:bookmarkEnd w:id="32"/>
      <w:r w:rsidDel="00000000" w:rsidR="00000000" w:rsidRPr="00000000">
        <w:rPr>
          <w:rFonts w:ascii="Poppins" w:cs="Poppins" w:eastAsia="Poppins" w:hAnsi="Poppins"/>
          <w:color w:val="b7c3a1"/>
          <w:rtl w:val="0"/>
        </w:rPr>
        <w:t xml:space="preserve">4.4 4.4 Transfert de connaissances de l’Europe vers l’Afrique subsaharienne : quatre principes de conception</w:t>
      </w:r>
    </w:p>
    <w:p w:rsidR="00000000" w:rsidDel="00000000" w:rsidP="00000000" w:rsidRDefault="00000000" w:rsidRPr="00000000" w14:paraId="00000127">
      <w:pPr>
        <w:jc w:val="both"/>
        <w:rPr>
          <w:rFonts w:ascii="Poppins" w:cs="Poppins" w:eastAsia="Poppins" w:hAnsi="Poppins"/>
          <w:b w:val="1"/>
          <w:bCs w:val="1"/>
          <w:i w:val="1"/>
          <w:iCs w:val="1"/>
          <w:color w:val="1a1a1a"/>
          <w:sz w:val="24"/>
          <w:szCs w:val="24"/>
        </w:rPr>
      </w:pPr>
      <w:r w:rsidDel="00000000" w:rsidR="00000000" w:rsidRPr="00000000">
        <w:rPr>
          <w:rFonts w:ascii="Poppins" w:cs="Poppins" w:eastAsia="Poppins" w:hAnsi="Poppins"/>
          <w:b w:val="1"/>
          <w:bCs w:val="1"/>
          <w:i w:val="1"/>
          <w:iCs w:val="1"/>
          <w:color w:val="1a1a1a"/>
          <w:sz w:val="24"/>
          <w:szCs w:val="24"/>
          <w:rtl w:val="0"/>
        </w:rPr>
        <w:t xml:space="preserve">Le défi central partagé : pourquoi l’expérience européenne est véritablement pertinente</w:t>
      </w:r>
    </w:p>
    <w:p w:rsidR="00000000" w:rsidDel="00000000" w:rsidP="00000000" w:rsidRDefault="00000000" w:rsidRPr="00000000" w14:paraId="00000128">
      <w:pPr>
        <w:jc w:val="both"/>
        <w:rPr>
          <w:rFonts w:ascii="Poppins" w:cs="Poppins" w:eastAsia="Poppins" w:hAnsi="Poppins"/>
          <w:color w:val="1a1a1a"/>
        </w:rPr>
      </w:pPr>
      <w:r w:rsidDel="00000000" w:rsidR="00000000" w:rsidRPr="00000000">
        <w:rPr>
          <w:rFonts w:ascii="Poppins" w:cs="Poppins" w:eastAsia="Poppins" w:hAnsi="Poppins"/>
          <w:color w:val="1a1a1a"/>
          <w:rtl w:val="0"/>
        </w:rPr>
        <w:t xml:space="preserve">Le premier principe, et le plus fondamental, du transfert de connaissances issu de cette analyse est que le défi fondamental auquel sont confrontés les deux groupes continentaux est structurellement partagé, même si les conditions de mise en œuvre diffèrent considérablement. Dans les contextes d’Afrique subsaharienne comme dans ceux des pays partenaires européens, les jeunes ruraux font face à des paysages de participation où les droits formels existent sans accessibilité pratique ; où la consultation est plus fréquente que l’influence ; où l’énergie communautaire et la motivation civique sont présentes mais ne sont pas reliées aux processus de gouvernance où sont prises les décisions conséquentes ; et où les jeunes les plus exclus — jeunes femmes, jeunes en situation de handicap, jeunes marginalisés économiquement et jeunes des communautés les plus reculées — font face à des obstacles cumulatifs qu’aucun mécanisme existant ne traite systématiquement. Cette convergence structurelle signifie que l’expérience européenne de ce qui fonctionne et de ce qui ne fonctionne pas est véritablement pertinente pour la conception en Afrique subsaharienne, plutôt que de constituer une imposition de solutions développées pour des contextes de gouvernance fondamentalement différents. La méthodologie RYP de Roumanie, le modèle d’autonomisation YEPP d’Italie et l’expérience grecque d’intégration institutionnelle des Conseils municipaux des jeunes traitent tous de problèmes réels et partagés, et leur adaptation aux contextes d’Afrique subsaharienne constitue un processus de contextualisation plutôt qu’une transplantation intégrale. Le transfert de connaissances est également véritablement bidirectionnel : les données des pays partenaires d’Afrique subsaharienne sur la légitimité communautaire, la gouvernance intergénérationnelle et le rôle de l’autorité traditionnelle dans le soutien à la participation offrent des leçons de conception pertinentes pour les contextes européens confrontés aux limites des approches institutionnelles formelles.</w:t>
      </w:r>
    </w:p>
    <w:p w:rsidR="00000000" w:rsidDel="00000000" w:rsidP="00000000" w:rsidRDefault="00000000" w:rsidRPr="00000000" w14:paraId="00000129">
      <w:pPr>
        <w:jc w:val="both"/>
        <w:rPr>
          <w:rFonts w:ascii="Poppins" w:cs="Poppins" w:eastAsia="Poppins" w:hAnsi="Poppins"/>
          <w:color w:val="1a1a1a"/>
        </w:rPr>
      </w:pPr>
      <w:r w:rsidDel="00000000" w:rsidR="00000000" w:rsidRPr="00000000">
        <w:rPr>
          <w:rtl w:val="0"/>
        </w:rPr>
      </w:r>
    </w:p>
    <w:p w:rsidR="00000000" w:rsidDel="00000000" w:rsidP="00000000" w:rsidRDefault="00000000" w:rsidRPr="00000000" w14:paraId="0000012A">
      <w:pPr>
        <w:jc w:val="both"/>
        <w:rPr>
          <w:rFonts w:ascii="Poppins" w:cs="Poppins" w:eastAsia="Poppins" w:hAnsi="Poppins"/>
          <w:b w:val="1"/>
          <w:bCs w:val="1"/>
          <w:i w:val="1"/>
          <w:iCs w:val="1"/>
          <w:color w:val="1a1a1a"/>
          <w:sz w:val="24"/>
          <w:szCs w:val="24"/>
        </w:rPr>
      </w:pPr>
      <w:r w:rsidDel="00000000" w:rsidR="00000000" w:rsidRPr="00000000">
        <w:rPr>
          <w:rFonts w:ascii="Poppins" w:cs="Poppins" w:eastAsia="Poppins" w:hAnsi="Poppins"/>
          <w:b w:val="1"/>
          <w:bCs w:val="1"/>
          <w:i w:val="1"/>
          <w:iCs w:val="1"/>
          <w:color w:val="1a1a1a"/>
          <w:sz w:val="24"/>
          <w:szCs w:val="24"/>
          <w:rtl w:val="0"/>
        </w:rPr>
        <w:t xml:space="preserve">La légitimité communautaire comme élément non négociable : l’impératif de conception spécifique à l’Afrique subsaharienne</w:t>
      </w:r>
    </w:p>
    <w:p w:rsidR="00000000" w:rsidDel="00000000" w:rsidP="00000000" w:rsidRDefault="00000000" w:rsidRPr="00000000" w14:paraId="0000012B">
      <w:pPr>
        <w:jc w:val="both"/>
        <w:rPr>
          <w:rFonts w:ascii="Poppins" w:cs="Poppins" w:eastAsia="Poppins" w:hAnsi="Poppins"/>
          <w:color w:val="1a1a1a"/>
        </w:rPr>
      </w:pPr>
      <w:r w:rsidDel="00000000" w:rsidR="00000000" w:rsidRPr="00000000">
        <w:rPr>
          <w:rFonts w:ascii="Poppins" w:cs="Poppins" w:eastAsia="Poppins" w:hAnsi="Poppins"/>
          <w:color w:val="1a1a1a"/>
          <w:rtl w:val="0"/>
        </w:rPr>
        <w:t xml:space="preserve">Le deuxième principe est que la légitimité communautaire constitue un facteur de conception plus critique et plus complexe dans les contextes d’Afrique subsaharienne que dans les contextes européens, et que son absence représente un risque plus aigu d’échec des RYPs en Afrique subsaharienne que toute autre erreur de conception. L’autorité traditionnelle et communautaire, incarnée par le Kgosi et le Kgotla au Botswana, par les systèmes de classes d’âge et les conseils émiraux au Nigeria, par l’andrimasompokonolona et les associations communautaires à Madagascar, ainsi que par les réseaux de Conseils régionaux de la jeunesse à Maurice, n’est pas simplement une caractéristique culturelle de la gouvernance en Afrique subsaharienne, mais une condition structurelle préalable à la légitimité durable de toute structure formelle de participation. Dans les contextes partenaires européens, les conseils et parlements de jeunes peuvent tirer leur autorité principalement de leur base juridique et de leur connexion aux structures gouvernementales formelles, parce que l’autorité légitime de ces structures formelles est largement acceptée. Dans les contextes ruraux d’Afrique subsaharienne, l’autorité juridique formelle est souvent éloignée, mal comprise et n’est pas systématiquement vécue comme légitime par les communautés rurales dont la gouvernance quotidienne est façonnée par des institutions coutumières. Les modèles RYP adaptés à l’Afrique subsaharienne doivent donc rechercher et obtenir activement le soutien et la participation active des leaders traditionnels et communautaires comme étape fondamentale de conception, et non comme activité de relations publiques ou comme ajout a posteriori. Les données relatives à l’institution Sarkin Samari au Nigeria et au système Kgotla au Botswana démontrent que l’autorité traditionnelle peut être un puissant amplificateur de la voix des jeunes plutôt qu’un obstacle à celle-ci, lorsque les leaders traditionnels sont engagés comme véritables partenaires de la gouvernance des jeunes plutôt que contournés au profit de structures formelles conçues de l’extérieur.</w:t>
      </w:r>
    </w:p>
    <w:p w:rsidR="00000000" w:rsidDel="00000000" w:rsidP="00000000" w:rsidRDefault="00000000" w:rsidRPr="00000000" w14:paraId="0000012C">
      <w:pPr>
        <w:jc w:val="both"/>
        <w:rPr>
          <w:rFonts w:ascii="Poppins" w:cs="Poppins" w:eastAsia="Poppins" w:hAnsi="Poppins"/>
          <w:color w:val="1a1a1a"/>
        </w:rPr>
      </w:pPr>
      <w:r w:rsidDel="00000000" w:rsidR="00000000" w:rsidRPr="00000000">
        <w:rPr>
          <w:rtl w:val="0"/>
        </w:rPr>
      </w:r>
    </w:p>
    <w:p w:rsidR="00000000" w:rsidDel="00000000" w:rsidP="00000000" w:rsidRDefault="00000000" w:rsidRPr="00000000" w14:paraId="0000012D">
      <w:pPr>
        <w:jc w:val="both"/>
        <w:rPr>
          <w:rFonts w:ascii="Poppins" w:cs="Poppins" w:eastAsia="Poppins" w:hAnsi="Poppins"/>
          <w:b w:val="1"/>
          <w:bCs w:val="1"/>
          <w:i w:val="1"/>
          <w:iCs w:val="1"/>
          <w:color w:val="1a1a1a"/>
          <w:sz w:val="24"/>
          <w:szCs w:val="24"/>
        </w:rPr>
      </w:pPr>
      <w:r w:rsidDel="00000000" w:rsidR="00000000" w:rsidRPr="00000000">
        <w:rPr>
          <w:rFonts w:ascii="Poppins" w:cs="Poppins" w:eastAsia="Poppins" w:hAnsi="Poppins"/>
          <w:b w:val="1"/>
          <w:bCs w:val="1"/>
          <w:i w:val="1"/>
          <w:iCs w:val="1"/>
          <w:color w:val="1a1a1a"/>
          <w:sz w:val="24"/>
          <w:szCs w:val="24"/>
          <w:rtl w:val="0"/>
        </w:rPr>
        <w:t xml:space="preserve">Les obstacles économiques à la participation : une condition structurelle préalable, et non un détail logistique</w:t>
      </w:r>
    </w:p>
    <w:p w:rsidR="00000000" w:rsidDel="00000000" w:rsidP="00000000" w:rsidRDefault="00000000" w:rsidRPr="00000000" w14:paraId="0000012E">
      <w:pPr>
        <w:jc w:val="both"/>
        <w:rPr>
          <w:rFonts w:ascii="Poppins" w:cs="Poppins" w:eastAsia="Poppins" w:hAnsi="Poppins"/>
          <w:color w:val="1a1a1a"/>
        </w:rPr>
      </w:pPr>
      <w:r w:rsidDel="00000000" w:rsidR="00000000" w:rsidRPr="00000000">
        <w:rPr>
          <w:rFonts w:ascii="Poppins" w:cs="Poppins" w:eastAsia="Poppins" w:hAnsi="Poppins"/>
          <w:color w:val="1a1a1a"/>
          <w:rtl w:val="0"/>
        </w:rPr>
        <w:t xml:space="preserve">Le troisième principe est que les obstacles économiques à la participation dans les contextes d’Afrique subsaharienne sont qualitativement différents de ceux des contextes européens et exigent une réponse de conception fondamentalement différente. Dans les rapports des pays partenaires européens, les coûts de transport, le coût d’opportunité du temps et les coûts directs de participation ne sont mentionnés qu’en passant, parce que les fonds structurels de l’UE, les budgets des programmes de la société civile et les systèmes de protection sociale les absorbent largement. Les délégués jeunes du RYP roumain reçoivent un soutien au transport ; les participants YEPP italiens reçoivent une indemnité journalière ; les membres des Conseils municipaux des jeunes en Grèce ne sont pas confrontés à la perspective de renoncer au revenu agricole d’une journée pour assister à une réunion. Dans les contextes d’Afrique subsaharienne, ces coûts ne sont absorbés par aucun système et sont fréquemment prohibitifs pour les jeunes ruraux les plus marginalisés. Les données de la Tâche 2.1 sur Madagascar le documentent de la manière la plus frappante : les jeunes ruraux ne peuvent pas se permettre les frais de transport pour atteindre les réunions de participation, créant un obstacle financier direct qui exclut les jeunes les plus marginalisés économiquement de toutes les activités de participation, indépendamment de leur motivation ou de leur capacité civique. Les allocations de transport, les indemnités journalières, le crédit de communication et les dispositions de garde d’enfants permettant aux jeunes mères de participer ne sont pas des luxes de programme ou des facilités administratives : ce sont des conditions structurelles préalables à la participation des jeunes qui ont le plus besoin des RYPs. Chaque budget RYP en Afrique subsaharienne doit inclure ces dispositions comme coûts fixes dès le départ, et leur adéquation doit être suivie comme indicateur de qualité de la participation, parallèlement à des indicateurs plus conventionnels de présence et de représentativité.</w:t>
      </w:r>
    </w:p>
    <w:p w:rsidR="00000000" w:rsidDel="00000000" w:rsidP="00000000" w:rsidRDefault="00000000" w:rsidRPr="00000000" w14:paraId="0000012F">
      <w:pPr>
        <w:jc w:val="both"/>
        <w:rPr>
          <w:rFonts w:ascii="Poppins" w:cs="Poppins" w:eastAsia="Poppins" w:hAnsi="Poppins"/>
          <w:color w:val="1a1a1a"/>
        </w:rPr>
      </w:pPr>
      <w:r w:rsidDel="00000000" w:rsidR="00000000" w:rsidRPr="00000000">
        <w:rPr>
          <w:rtl w:val="0"/>
        </w:rPr>
      </w:r>
    </w:p>
    <w:p w:rsidR="00000000" w:rsidDel="00000000" w:rsidP="00000000" w:rsidRDefault="00000000" w:rsidRPr="00000000" w14:paraId="00000130">
      <w:pPr>
        <w:jc w:val="both"/>
        <w:rPr>
          <w:rFonts w:ascii="Poppins" w:cs="Poppins" w:eastAsia="Poppins" w:hAnsi="Poppins"/>
          <w:b w:val="1"/>
          <w:bCs w:val="1"/>
          <w:i w:val="1"/>
          <w:iCs w:val="1"/>
          <w:color w:val="1a1a1a"/>
          <w:sz w:val="24"/>
          <w:szCs w:val="24"/>
        </w:rPr>
      </w:pPr>
      <w:r w:rsidDel="00000000" w:rsidR="00000000" w:rsidRPr="00000000">
        <w:rPr>
          <w:rFonts w:ascii="Poppins" w:cs="Poppins" w:eastAsia="Poppins" w:hAnsi="Poppins"/>
          <w:b w:val="1"/>
          <w:bCs w:val="1"/>
          <w:i w:val="1"/>
          <w:iCs w:val="1"/>
          <w:color w:val="1a1a1a"/>
          <w:sz w:val="24"/>
          <w:szCs w:val="24"/>
          <w:rtl w:val="0"/>
        </w:rPr>
        <w:t xml:space="preserve">Contextualisation délibérée : ce qui se transfère et ce qui doit être repensé</w:t>
      </w:r>
    </w:p>
    <w:p w:rsidR="00000000" w:rsidDel="00000000" w:rsidP="00000000" w:rsidRDefault="00000000" w:rsidRPr="00000000" w14:paraId="00000131">
      <w:pPr>
        <w:jc w:val="both"/>
        <w:rPr>
          <w:rFonts w:ascii="Poppins" w:cs="Poppins" w:eastAsia="Poppins" w:hAnsi="Poppins"/>
        </w:rPr>
      </w:pPr>
      <w:r w:rsidDel="00000000" w:rsidR="00000000" w:rsidRPr="00000000">
        <w:rPr>
          <w:rFonts w:ascii="Poppins" w:cs="Poppins" w:eastAsia="Poppins" w:hAnsi="Poppins"/>
          <w:color w:val="1a1a1a"/>
          <w:rtl w:val="0"/>
        </w:rPr>
        <w:t xml:space="preserve">Le quatrième principe est le plus complexe sur le plan opérationnel : la méthodologie RYP roumaine, le modèle européen le plus directement applicable, exige une contextualisation délibérée et systématique pour chaque cadre d’Afrique subsaharienne, et la distinction entre ce qui peut être adapté directement et ce qui doit être fondamentalement repensé n’est pas toujours intuitive. La méthodologie délibérative elle-même, c’est-à-dire le format structuré permettant aux délégués jeunes d’identifier les priorités communautaires, de formuler des propositions et de s’engager dans un dialogue responsable avec les décideurs, est adaptable à différents contextes culturels et de gouvernance avec des modifications appropriées pour les normes de communication de tradition orale, l’usage des langues locales et les styles de facilitation culturellement pertinents. Le guide de facilitation développé grâce à la pratique itérative roumaine fournit un point de départ plutôt qu’un protocole fixe, et son adaptation constitue une tâche de conception qui exige la participation active à la co-conception des partenaires d’Afrique subsaharienne plutôt qu’une traduction par des experts européens. Le modèle de lien avec l’action communautaire, à savoir le principe selon lequel les délibérations RYP produisent des actions communautaires concrètes, visibles et attribuables au RYP, est directement transférable comme principe de conception, quelles que soient les activités spécifiques qui résultent dans différents contextes culturels. Ce qui ne peut pas être transféré directement, et ce qui exige la refonte la plus délibérée pour chaque contexte d’Afrique subsaharienne, est la stratégie d’ancrage institutionnel : la réponse spécifique à la question de savoir quelle institution, dans ce contexte, possède une autorité suffisante, une légitimité communautaire et un accès aux ressources pour offrir le foyer de gouvernance du RYP. En Roumanie, le LAG fournit cet ancrage par son mandat LEADER, son rôle de gouvernance territoriale et ses relations établies avec les organisations communautaires comme avec les institutions publiques. Aucune institution équivalente n’existe dans les quatre contextes partenaires d’Afrique subsaharienne, et le processus d’identification et de sécurisation de l’ancrage institutionnel approprié — qu’il s’agisse d’un conseil de district au Botswana, d’une administration LGA au Nigeria, d’un conseil régional de la jeunesse à Maurice ou d’une autorité communale à Madagascar — constitue la tâche de conception la plus spécifique au contexte et la plus déterminante dans chaque pays d’Afrique subsaharienne, une tâche qui ne peut pas être accomplie par les partenaires européens au nom des partenaires d’Afrique subsaharienne, mais doit être conduite par les organisations d’Afrique subsaharienne possédant les relations communautaires et les connaissances institutionnelles les plus approfondies.</w:t>
      </w:r>
      <w:r w:rsidDel="00000000" w:rsidR="00000000" w:rsidRPr="00000000">
        <w:br w:type="page"/>
      </w:r>
      <w:r w:rsidDel="00000000" w:rsidR="00000000" w:rsidRPr="00000000">
        <w:rPr>
          <w:rtl w:val="0"/>
        </w:rPr>
      </w:r>
    </w:p>
    <w:p w:rsidR="00000000" w:rsidDel="00000000" w:rsidP="00000000" w:rsidRDefault="00000000" w:rsidRPr="00000000" w14:paraId="00000132">
      <w:pPr>
        <w:pStyle w:val="Heading1"/>
        <w:keepNext w:val="1"/>
        <w:spacing w:after="120" w:before="360" w:lineRule="auto"/>
        <w:rPr>
          <w:rFonts w:ascii="Poppins" w:cs="Poppins" w:eastAsia="Poppins" w:hAnsi="Poppins"/>
          <w:color w:val="2f6b3a"/>
        </w:rPr>
      </w:pPr>
      <w:bookmarkStart w:colFirst="0" w:colLast="0" w:name="_heading=h.2khz0gtq3nwv" w:id="33"/>
      <w:bookmarkEnd w:id="33"/>
      <w:r w:rsidDel="00000000" w:rsidR="00000000" w:rsidRPr="00000000">
        <w:rPr>
          <w:rFonts w:ascii="Poppins" w:cs="Poppins" w:eastAsia="Poppins" w:hAnsi="Poppins"/>
          <w:color w:val="2f6b3a"/>
          <w:rtl w:val="0"/>
        </w:rPr>
        <w:t xml:space="preserve">5. Recommandations transversales pour la conception des Parlements ruraux des jeunes</w:t>
      </w:r>
    </w:p>
    <w:p w:rsidR="00000000" w:rsidDel="00000000" w:rsidP="00000000" w:rsidRDefault="00000000" w:rsidRPr="00000000" w14:paraId="00000133">
      <w:pPr>
        <w:pStyle w:val="Heading2"/>
        <w:keepNext w:val="1"/>
        <w:spacing w:after="80" w:before="280" w:lineRule="auto"/>
        <w:jc w:val="both"/>
        <w:rPr>
          <w:rFonts w:ascii="Poppins" w:cs="Poppins" w:eastAsia="Poppins" w:hAnsi="Poppins"/>
          <w:b w:val="0"/>
          <w:bCs w:val="0"/>
          <w:color w:val="1a1a1a"/>
          <w:sz w:val="22"/>
          <w:szCs w:val="22"/>
        </w:rPr>
      </w:pPr>
      <w:bookmarkStart w:colFirst="0" w:colLast="0" w:name="_heading=h.mf46hq8iscz0" w:id="34"/>
      <w:bookmarkEnd w:id="34"/>
      <w:r w:rsidDel="00000000" w:rsidR="00000000" w:rsidRPr="00000000">
        <w:rPr>
          <w:rFonts w:ascii="Poppins" w:cs="Poppins" w:eastAsia="Poppins" w:hAnsi="Poppins"/>
          <w:b w:val="0"/>
          <w:bCs w:val="0"/>
          <w:color w:val="1a1a1a"/>
          <w:sz w:val="22"/>
          <w:szCs w:val="22"/>
          <w:rtl w:val="0"/>
        </w:rPr>
        <w:t xml:space="preserve">Les recommandations suivantes sont fondées sur l’analyse comparative des quatorze rapports nationaux. Elles sont structurées autour de six domaines thématiques et visent à informer la conception des Parlements ruraux des jeunes, la plateforme EMPOWER+, les activités de formation et de renforcement des capacités ainsi que le travail de plaidoyer politique. Chaque recommandation identifie sa pertinence principale : Afrique subsaharienne, UE ou tous les contextes.</w:t>
      </w:r>
    </w:p>
    <w:p w:rsidR="00000000" w:rsidDel="00000000" w:rsidP="00000000" w:rsidRDefault="00000000" w:rsidRPr="00000000" w14:paraId="00000134">
      <w:pPr>
        <w:spacing w:after="100" w:before="60" w:lineRule="auto"/>
        <w:jc w:val="both"/>
        <w:rPr>
          <w:rFonts w:ascii="Poppins" w:cs="Poppins" w:eastAsia="Poppins" w:hAnsi="Poppins"/>
          <w:b w:val="1"/>
          <w:bCs w:val="1"/>
          <w:color w:val="b7c3a1"/>
          <w:sz w:val="36"/>
          <w:szCs w:val="36"/>
        </w:rPr>
      </w:pPr>
      <w:r w:rsidDel="00000000" w:rsidR="00000000" w:rsidRPr="00000000">
        <w:rPr>
          <w:rFonts w:ascii="Poppins" w:cs="Poppins" w:eastAsia="Poppins" w:hAnsi="Poppins"/>
          <w:b w:val="1"/>
          <w:bCs w:val="1"/>
          <w:color w:val="b7c3a1"/>
          <w:sz w:val="36"/>
          <w:szCs w:val="36"/>
          <w:rtl w:val="0"/>
        </w:rPr>
        <w:t xml:space="preserve">Domaine de recommandation 1 : ancrage institutionnel et reconnaissance juridique</w:t>
      </w:r>
    </w:p>
    <w:p w:rsidR="00000000" w:rsidDel="00000000" w:rsidP="00000000" w:rsidRDefault="00000000" w:rsidRPr="00000000" w14:paraId="00000135">
      <w:pPr>
        <w:jc w:val="both"/>
        <w:rPr>
          <w:rFonts w:ascii="Poppins" w:cs="Poppins" w:eastAsia="Poppins" w:hAnsi="Poppins"/>
          <w:color w:val="1a1a1a"/>
        </w:rPr>
      </w:pPr>
      <w:r w:rsidDel="00000000" w:rsidR="00000000" w:rsidRPr="00000000">
        <w:rPr>
          <w:rFonts w:ascii="Poppins" w:cs="Poppins" w:eastAsia="Poppins" w:hAnsi="Poppins"/>
          <w:color w:val="1a1a1a"/>
          <w:rtl w:val="0"/>
        </w:rPr>
        <w:t xml:space="preserve">Les données issues des sept pays partenaires sont sans ambiguïté : les structures de participation des jeunes dépourvues d’un ancrage institutionnel formel, d’un financement prévisible et d’une reconnaissance juridique sont, au mieux, épisodiques et, au pire, symboliques. L’ancrage institutionnel est une condition préalable à toute conception RYP visant à perdurer au-delà d’un seul cycle de projet.</w:t>
      </w:r>
    </w:p>
    <w:p w:rsidR="00000000" w:rsidDel="00000000" w:rsidP="00000000" w:rsidRDefault="00000000" w:rsidRPr="00000000" w14:paraId="00000136">
      <w:pPr>
        <w:jc w:val="both"/>
        <w:rPr>
          <w:rFonts w:ascii="Poppins" w:cs="Poppins" w:eastAsia="Poppins" w:hAnsi="Poppins"/>
          <w:color w:val="1a1a1a"/>
        </w:rPr>
      </w:pPr>
      <w:r w:rsidDel="00000000" w:rsidR="00000000" w:rsidRPr="00000000">
        <w:rPr>
          <w:rtl w:val="0"/>
        </w:rPr>
      </w:r>
    </w:p>
    <w:p w:rsidR="00000000" w:rsidDel="00000000" w:rsidP="00000000" w:rsidRDefault="00000000" w:rsidRPr="00000000" w14:paraId="00000137">
      <w:pPr>
        <w:spacing w:after="100" w:before="60" w:lineRule="auto"/>
        <w:jc w:val="both"/>
        <w:rPr>
          <w:rFonts w:ascii="Poppins" w:cs="Poppins" w:eastAsia="Poppins" w:hAnsi="Poppins"/>
          <w:b w:val="1"/>
          <w:bCs w:val="1"/>
          <w:color w:val="1a1a1a"/>
          <w:sz w:val="24"/>
          <w:szCs w:val="24"/>
        </w:rPr>
      </w:pPr>
      <w:r w:rsidDel="00000000" w:rsidR="00000000" w:rsidRPr="00000000">
        <w:rPr>
          <w:rFonts w:ascii="Poppins" w:cs="Poppins" w:eastAsia="Poppins" w:hAnsi="Poppins"/>
          <w:b w:val="1"/>
          <w:bCs w:val="1"/>
          <w:color w:val="1a1a1a"/>
          <w:sz w:val="24"/>
          <w:szCs w:val="24"/>
          <w:rtl w:val="0"/>
        </w:rPr>
        <w:t xml:space="preserve">Recommandation 1.1 : Ancrer les RYPs au niveau infranational [TOUS]</w:t>
      </w:r>
    </w:p>
    <w:p w:rsidR="00000000" w:rsidDel="00000000" w:rsidP="00000000" w:rsidRDefault="00000000" w:rsidRPr="00000000" w14:paraId="00000138">
      <w:pPr>
        <w:jc w:val="both"/>
        <w:rPr>
          <w:rFonts w:ascii="Poppins" w:cs="Poppins" w:eastAsia="Poppins" w:hAnsi="Poppins"/>
          <w:color w:val="1a1a1a"/>
        </w:rPr>
      </w:pPr>
      <w:r w:rsidDel="00000000" w:rsidR="00000000" w:rsidRPr="00000000">
        <w:rPr>
          <w:rFonts w:ascii="Poppins" w:cs="Poppins" w:eastAsia="Poppins" w:hAnsi="Poppins"/>
          <w:color w:val="1a1a1a"/>
          <w:rtl w:val="0"/>
        </w:rPr>
        <w:t xml:space="preserve">Les Parlements ruraux des jeunes devraient opérer au niveau du district, de la Local Government Area, du ward, de la commune ou du territoire LAG, à proximité des jeunes ruraux et intégrés aux processus de gouvernance locale. C’est à ce niveau que fonctionnent le Kgotla, les Ward Development Committees, les Conseils régionaux de la jeunesse et la structure de gouvernance LAG roumaine, et que l’ancrage institutionnel est le plus faisable.</w:t>
      </w:r>
    </w:p>
    <w:p w:rsidR="00000000" w:rsidDel="00000000" w:rsidP="00000000" w:rsidRDefault="00000000" w:rsidRPr="00000000" w14:paraId="00000139">
      <w:pPr>
        <w:rPr>
          <w:rFonts w:ascii="Poppins" w:cs="Poppins" w:eastAsia="Poppins" w:hAnsi="Poppins"/>
          <w:color w:val="1a1a1a"/>
        </w:rPr>
      </w:pPr>
      <w:r w:rsidDel="00000000" w:rsidR="00000000" w:rsidRPr="00000000">
        <w:rPr>
          <w:rtl w:val="0"/>
        </w:rPr>
      </w:r>
    </w:p>
    <w:p w:rsidR="00000000" w:rsidDel="00000000" w:rsidP="00000000" w:rsidRDefault="00000000" w:rsidRPr="00000000" w14:paraId="0000013A">
      <w:pPr>
        <w:spacing w:after="100" w:before="60" w:lineRule="auto"/>
        <w:jc w:val="both"/>
        <w:rPr>
          <w:rFonts w:ascii="Poppins" w:cs="Poppins" w:eastAsia="Poppins" w:hAnsi="Poppins"/>
          <w:b w:val="1"/>
          <w:bCs w:val="1"/>
          <w:color w:val="1a1a1a"/>
          <w:sz w:val="24"/>
          <w:szCs w:val="24"/>
        </w:rPr>
      </w:pPr>
      <w:r w:rsidDel="00000000" w:rsidR="00000000" w:rsidRPr="00000000">
        <w:rPr>
          <w:rFonts w:ascii="Poppins" w:cs="Poppins" w:eastAsia="Poppins" w:hAnsi="Poppins"/>
          <w:b w:val="1"/>
          <w:bCs w:val="1"/>
          <w:color w:val="1a1a1a"/>
          <w:sz w:val="24"/>
          <w:szCs w:val="24"/>
          <w:rtl w:val="0"/>
        </w:rPr>
        <w:t xml:space="preserve">Recommandation 1.2 : Rechercher une reconnaissance institutionnelle formelle [Afrique subsaharienne]</w:t>
      </w:r>
    </w:p>
    <w:p w:rsidR="00000000" w:rsidDel="00000000" w:rsidP="00000000" w:rsidRDefault="00000000" w:rsidRPr="00000000" w14:paraId="0000013B">
      <w:pPr>
        <w:jc w:val="both"/>
        <w:rPr>
          <w:rFonts w:ascii="Poppins" w:cs="Poppins" w:eastAsia="Poppins" w:hAnsi="Poppins"/>
          <w:color w:val="1a1a1a"/>
        </w:rPr>
      </w:pPr>
      <w:r w:rsidDel="00000000" w:rsidR="00000000" w:rsidRPr="00000000">
        <w:rPr>
          <w:rFonts w:ascii="Poppins" w:cs="Poppins" w:eastAsia="Poppins" w:hAnsi="Poppins"/>
          <w:color w:val="1a1a1a"/>
          <w:rtl w:val="0"/>
        </w:rPr>
        <w:t xml:space="preserve">Le processus de conception de chaque RYP en Afrique subsaharienne devrait inclure une étape explicite de reconnaissance institutionnelle : obtenir l’approbation formelle des autorités locales, des maires, des conseils de district et des leaders traditionnels avant le lancement du RYP. Une résolution formelle ou un protocole d’accord fournit une base à partir de laquelle un enracinement juridique peut être poursuivi dans le temps.</w:t>
      </w:r>
    </w:p>
    <w:p w:rsidR="00000000" w:rsidDel="00000000" w:rsidP="00000000" w:rsidRDefault="00000000" w:rsidRPr="00000000" w14:paraId="0000013C">
      <w:pPr>
        <w:rPr>
          <w:rFonts w:ascii="Poppins" w:cs="Poppins" w:eastAsia="Poppins" w:hAnsi="Poppins"/>
          <w:color w:val="1a1a1a"/>
        </w:rPr>
      </w:pPr>
      <w:r w:rsidDel="00000000" w:rsidR="00000000" w:rsidRPr="00000000">
        <w:rPr>
          <w:rtl w:val="0"/>
        </w:rPr>
      </w:r>
    </w:p>
    <w:p w:rsidR="00000000" w:rsidDel="00000000" w:rsidP="00000000" w:rsidRDefault="00000000" w:rsidRPr="00000000" w14:paraId="0000013D">
      <w:pPr>
        <w:spacing w:after="100" w:before="60" w:lineRule="auto"/>
        <w:jc w:val="both"/>
        <w:rPr>
          <w:rFonts w:ascii="Poppins" w:cs="Poppins" w:eastAsia="Poppins" w:hAnsi="Poppins"/>
          <w:b w:val="1"/>
          <w:bCs w:val="1"/>
          <w:color w:val="1a1a1a"/>
          <w:sz w:val="24"/>
          <w:szCs w:val="24"/>
        </w:rPr>
      </w:pPr>
      <w:r w:rsidDel="00000000" w:rsidR="00000000" w:rsidRPr="00000000">
        <w:rPr>
          <w:rFonts w:ascii="Poppins" w:cs="Poppins" w:eastAsia="Poppins" w:hAnsi="Poppins"/>
          <w:b w:val="1"/>
          <w:bCs w:val="1"/>
          <w:color w:val="1a1a1a"/>
          <w:sz w:val="24"/>
          <w:szCs w:val="24"/>
          <w:rtl w:val="0"/>
        </w:rPr>
        <w:t xml:space="preserve">Recommandation 1.3 : Plaider pour des lignes budgétaires dédiées [Afrique subsaharienne]</w:t>
      </w:r>
    </w:p>
    <w:p w:rsidR="00000000" w:rsidDel="00000000" w:rsidP="00000000" w:rsidRDefault="00000000" w:rsidRPr="00000000" w14:paraId="0000013E">
      <w:pPr>
        <w:jc w:val="both"/>
        <w:rPr>
          <w:rFonts w:ascii="Poppins" w:cs="Poppins" w:eastAsia="Poppins" w:hAnsi="Poppins"/>
          <w:color w:val="1a1a1a"/>
        </w:rPr>
      </w:pPr>
      <w:r w:rsidDel="00000000" w:rsidR="00000000" w:rsidRPr="00000000">
        <w:rPr>
          <w:rFonts w:ascii="Poppins" w:cs="Poppins" w:eastAsia="Poppins" w:hAnsi="Poppins"/>
          <w:color w:val="1a1a1a"/>
          <w:rtl w:val="0"/>
        </w:rPr>
        <w:t xml:space="preserve">Même une allocation modeste dans un plan annuel de gouvernement local établit le principe du financement public du RYP et réduit significativement sa dépendance à l’égard du financement externe par projet. Les partenaires du consortium au Nigeria et au Botswana devraient s’engager spécifiquement auprès des trésoreries des LGAs et des bureaux financiers de district afin d’explorer la faisabilité de lignes budgétaires dédiées aux RYPs au sein des allocations existantes des programmes jeunesse.</w:t>
      </w:r>
    </w:p>
    <w:p w:rsidR="00000000" w:rsidDel="00000000" w:rsidP="00000000" w:rsidRDefault="00000000" w:rsidRPr="00000000" w14:paraId="0000013F">
      <w:pPr>
        <w:rPr>
          <w:rFonts w:ascii="Poppins" w:cs="Poppins" w:eastAsia="Poppins" w:hAnsi="Poppins"/>
          <w:color w:val="1a1a1a"/>
        </w:rPr>
      </w:pPr>
      <w:r w:rsidDel="00000000" w:rsidR="00000000" w:rsidRPr="00000000">
        <w:rPr>
          <w:rtl w:val="0"/>
        </w:rPr>
      </w:r>
    </w:p>
    <w:p w:rsidR="00000000" w:rsidDel="00000000" w:rsidP="00000000" w:rsidRDefault="00000000" w:rsidRPr="00000000" w14:paraId="00000140">
      <w:pPr>
        <w:rPr>
          <w:rFonts w:ascii="Poppins" w:cs="Poppins" w:eastAsia="Poppins" w:hAnsi="Poppins"/>
        </w:rPr>
      </w:pPr>
      <w:r w:rsidDel="00000000" w:rsidR="00000000" w:rsidRPr="00000000">
        <w:rPr>
          <w:rFonts w:ascii="Poppins" w:cs="Poppins" w:eastAsia="Poppins" w:hAnsi="Poppins"/>
          <w:b w:val="1"/>
          <w:bCs w:val="1"/>
          <w:color w:val="1a1a1a"/>
          <w:sz w:val="24"/>
          <w:szCs w:val="24"/>
          <w:rtl w:val="0"/>
        </w:rPr>
        <w:t xml:space="preserve">Recommendation 1.4: Develop a Model Constitutional Framework [ALL]</w:t>
      </w:r>
      <w:r w:rsidDel="00000000" w:rsidR="00000000" w:rsidRPr="00000000">
        <w:rPr>
          <w:rtl w:val="0"/>
        </w:rPr>
      </w:r>
    </w:p>
    <w:p w:rsidR="00000000" w:rsidDel="00000000" w:rsidP="00000000" w:rsidRDefault="00000000" w:rsidRPr="00000000" w14:paraId="00000141">
      <w:pPr>
        <w:jc w:val="both"/>
        <w:rPr>
          <w:rFonts w:ascii="Poppins" w:cs="Poppins" w:eastAsia="Poppins" w:hAnsi="Poppins"/>
          <w:b w:val="0"/>
          <w:bCs w:val="0"/>
          <w:color w:val="1a1a1a"/>
          <w:sz w:val="22"/>
          <w:szCs w:val="22"/>
        </w:rPr>
      </w:pPr>
      <w:r w:rsidDel="00000000" w:rsidR="00000000" w:rsidRPr="00000000">
        <w:rPr>
          <w:rFonts w:ascii="Poppins" w:cs="Poppins" w:eastAsia="Poppins" w:hAnsi="Poppins"/>
          <w:b w:val="0"/>
          <w:bCs w:val="0"/>
          <w:color w:val="1a1a1a"/>
          <w:sz w:val="22"/>
          <w:szCs w:val="22"/>
          <w:rtl w:val="0"/>
        </w:rPr>
        <w:t xml:space="preserve">EMPOWER+ devrait développer un modèle adaptable de cadre constitutionnel pour les RYPs, en s’appuyant sur le CPA Youth Parliament Toolkit, les standards d’International IDEA et les leçons du Gombe State Youth Parliament ainsi que de la méthodologie RYP roumaine, en traitant la structure de gouvernance, les critères de représentation, le format de délibération, les mécanismes de soumission des propositions et les protocoles de fermeture de la boucle de redevabilité.</w:t>
      </w:r>
    </w:p>
    <w:p w:rsidR="00000000" w:rsidDel="00000000" w:rsidP="00000000" w:rsidRDefault="00000000" w:rsidRPr="00000000" w14:paraId="00000142">
      <w:pPr>
        <w:pStyle w:val="Heading2"/>
        <w:keepNext w:val="1"/>
        <w:spacing w:after="80" w:before="280" w:lineRule="auto"/>
        <w:rPr>
          <w:rFonts w:ascii="Poppins" w:cs="Poppins" w:eastAsia="Poppins" w:hAnsi="Poppins"/>
          <w:color w:val="b7c3a1"/>
        </w:rPr>
      </w:pPr>
      <w:r w:rsidDel="00000000" w:rsidR="00000000" w:rsidRPr="00000000">
        <w:rPr>
          <w:rFonts w:ascii="Poppins" w:cs="Poppins" w:eastAsia="Poppins" w:hAnsi="Poppins"/>
          <w:color w:val="b7c3a1"/>
          <w:rtl w:val="0"/>
        </w:rPr>
        <w:t xml:space="preserve">Domaine de recommandation 2 : de la consultation à la codécision</w:t>
      </w:r>
    </w:p>
    <w:p w:rsidR="00000000" w:rsidDel="00000000" w:rsidP="00000000" w:rsidRDefault="00000000" w:rsidRPr="00000000" w14:paraId="00000143">
      <w:pPr>
        <w:jc w:val="both"/>
        <w:rPr>
          <w:rFonts w:ascii="Poppins" w:cs="Poppins" w:eastAsia="Poppins" w:hAnsi="Poppins"/>
          <w:color w:val="1a1a1a"/>
        </w:rPr>
      </w:pPr>
      <w:r w:rsidDel="00000000" w:rsidR="00000000" w:rsidRPr="00000000">
        <w:rPr>
          <w:rFonts w:ascii="Poppins" w:cs="Poppins" w:eastAsia="Poppins" w:hAnsi="Poppins"/>
          <w:color w:val="1a1a1a"/>
          <w:rtl w:val="0"/>
        </w:rPr>
        <w:t xml:space="preserve">La conclusion la plus constante dans les sept pays est que la participation est consultative sans être influente. Des changements structurels sont nécessaires dans la manière dont les résultats de la participation sont traités, communiqués et reliés aux décisions de gouvernance.</w:t>
      </w:r>
    </w:p>
    <w:p w:rsidR="00000000" w:rsidDel="00000000" w:rsidP="00000000" w:rsidRDefault="00000000" w:rsidRPr="00000000" w14:paraId="00000144">
      <w:pPr>
        <w:rPr>
          <w:rFonts w:ascii="Poppins" w:cs="Poppins" w:eastAsia="Poppins" w:hAnsi="Poppins"/>
          <w:color w:val="1a1a1a"/>
        </w:rPr>
      </w:pPr>
      <w:r w:rsidDel="00000000" w:rsidR="00000000" w:rsidRPr="00000000">
        <w:rPr>
          <w:rtl w:val="0"/>
        </w:rPr>
      </w:r>
    </w:p>
    <w:p w:rsidR="00000000" w:rsidDel="00000000" w:rsidP="00000000" w:rsidRDefault="00000000" w:rsidRPr="00000000" w14:paraId="00000145">
      <w:pPr>
        <w:spacing w:after="100" w:before="60" w:lineRule="auto"/>
        <w:jc w:val="both"/>
        <w:rPr>
          <w:rFonts w:ascii="Poppins" w:cs="Poppins" w:eastAsia="Poppins" w:hAnsi="Poppins"/>
          <w:b w:val="1"/>
          <w:bCs w:val="1"/>
          <w:color w:val="1a1a1a"/>
          <w:sz w:val="24"/>
          <w:szCs w:val="24"/>
        </w:rPr>
      </w:pPr>
      <w:r w:rsidDel="00000000" w:rsidR="00000000" w:rsidRPr="00000000">
        <w:rPr>
          <w:rFonts w:ascii="Poppins" w:cs="Poppins" w:eastAsia="Poppins" w:hAnsi="Poppins"/>
          <w:b w:val="1"/>
          <w:bCs w:val="1"/>
          <w:color w:val="1a1a1a"/>
          <w:sz w:val="24"/>
          <w:szCs w:val="24"/>
          <w:rtl w:val="0"/>
        </w:rPr>
        <w:t xml:space="preserve">Recommandation 2.1 : Intégrer des mécanismes d’influence sur la décision [TOUS]</w:t>
      </w:r>
    </w:p>
    <w:p w:rsidR="00000000" w:rsidDel="00000000" w:rsidP="00000000" w:rsidRDefault="00000000" w:rsidRPr="00000000" w14:paraId="00000146">
      <w:pPr>
        <w:jc w:val="both"/>
        <w:rPr>
          <w:rFonts w:ascii="Poppins" w:cs="Poppins" w:eastAsia="Poppins" w:hAnsi="Poppins"/>
          <w:color w:val="1a1a1a"/>
        </w:rPr>
      </w:pPr>
      <w:r w:rsidDel="00000000" w:rsidR="00000000" w:rsidRPr="00000000">
        <w:rPr>
          <w:rFonts w:ascii="Poppins" w:cs="Poppins" w:eastAsia="Poppins" w:hAnsi="Poppins"/>
          <w:color w:val="1a1a1a"/>
          <w:rtl w:val="0"/>
        </w:rPr>
        <w:t xml:space="preserve">Chaque conception RYP devrait inclure des mécanismes formels de soumission des propositions aux autorités pertinentes, avec des canaux de communication définis, des délais de réponse obligatoires et un suivi public de la manière dont les résolutions RYP sont mises en œuvre. Ces mécanismes constituent la différence structurelle entre un exercice de consultation et une véritable institution délibérative.</w:t>
      </w:r>
    </w:p>
    <w:p w:rsidR="00000000" w:rsidDel="00000000" w:rsidP="00000000" w:rsidRDefault="00000000" w:rsidRPr="00000000" w14:paraId="00000147">
      <w:pPr>
        <w:rPr>
          <w:rFonts w:ascii="Poppins" w:cs="Poppins" w:eastAsia="Poppins" w:hAnsi="Poppins"/>
          <w:color w:val="1a1a1a"/>
        </w:rPr>
      </w:pPr>
      <w:r w:rsidDel="00000000" w:rsidR="00000000" w:rsidRPr="00000000">
        <w:rPr>
          <w:rtl w:val="0"/>
        </w:rPr>
      </w:r>
    </w:p>
    <w:p w:rsidR="00000000" w:rsidDel="00000000" w:rsidP="00000000" w:rsidRDefault="00000000" w:rsidRPr="00000000" w14:paraId="00000148">
      <w:pPr>
        <w:spacing w:after="100" w:before="60" w:lineRule="auto"/>
        <w:jc w:val="both"/>
        <w:rPr>
          <w:rFonts w:ascii="Poppins" w:cs="Poppins" w:eastAsia="Poppins" w:hAnsi="Poppins"/>
          <w:b w:val="1"/>
          <w:bCs w:val="1"/>
          <w:color w:val="1a1a1a"/>
          <w:sz w:val="24"/>
          <w:szCs w:val="24"/>
        </w:rPr>
      </w:pPr>
      <w:r w:rsidDel="00000000" w:rsidR="00000000" w:rsidRPr="00000000">
        <w:rPr>
          <w:rFonts w:ascii="Poppins" w:cs="Poppins" w:eastAsia="Poppins" w:hAnsi="Poppins"/>
          <w:b w:val="1"/>
          <w:bCs w:val="1"/>
          <w:color w:val="1a1a1a"/>
          <w:sz w:val="24"/>
          <w:szCs w:val="24"/>
          <w:rtl w:val="0"/>
        </w:rPr>
        <w:t xml:space="preserve">Recommandation 2.2 : Établir des protocoles de boucle de retour d’information [TOUS]</w:t>
      </w:r>
    </w:p>
    <w:p w:rsidR="00000000" w:rsidDel="00000000" w:rsidP="00000000" w:rsidRDefault="00000000" w:rsidRPr="00000000" w14:paraId="00000149">
      <w:pPr>
        <w:jc w:val="both"/>
        <w:rPr>
          <w:rFonts w:ascii="Poppins" w:cs="Poppins" w:eastAsia="Poppins" w:hAnsi="Poppins"/>
          <w:color w:val="1a1a1a"/>
        </w:rPr>
      </w:pPr>
      <w:r w:rsidDel="00000000" w:rsidR="00000000" w:rsidRPr="00000000">
        <w:rPr>
          <w:rFonts w:ascii="Poppins" w:cs="Poppins" w:eastAsia="Poppins" w:hAnsi="Poppins"/>
          <w:color w:val="1a1a1a"/>
          <w:rtl w:val="0"/>
        </w:rPr>
        <w:t xml:space="preserve">Les autorités formellement engagées avec le RYP devraient être tenues de répondre aux résultats du RYP dans un délai défini, recommandé à soixante jours, avec une explication publique de ce qui a été accepté, rejeté et pourquoi. Ce seul changement institutionnel traite le facteur de désengagement des jeunes le plus constamment identifié dans les sept pays partenaires.</w:t>
      </w:r>
    </w:p>
    <w:p w:rsidR="00000000" w:rsidDel="00000000" w:rsidP="00000000" w:rsidRDefault="00000000" w:rsidRPr="00000000" w14:paraId="0000014A">
      <w:pPr>
        <w:rPr>
          <w:rFonts w:ascii="Poppins" w:cs="Poppins" w:eastAsia="Poppins" w:hAnsi="Poppins"/>
          <w:color w:val="1a1a1a"/>
        </w:rPr>
      </w:pPr>
      <w:r w:rsidDel="00000000" w:rsidR="00000000" w:rsidRPr="00000000">
        <w:rPr>
          <w:rtl w:val="0"/>
        </w:rPr>
      </w:r>
    </w:p>
    <w:p w:rsidR="00000000" w:rsidDel="00000000" w:rsidP="00000000" w:rsidRDefault="00000000" w:rsidRPr="00000000" w14:paraId="0000014B">
      <w:pPr>
        <w:spacing w:after="100" w:before="60" w:lineRule="auto"/>
        <w:jc w:val="both"/>
        <w:rPr>
          <w:rFonts w:ascii="Poppins" w:cs="Poppins" w:eastAsia="Poppins" w:hAnsi="Poppins"/>
          <w:b w:val="1"/>
          <w:bCs w:val="1"/>
          <w:color w:val="1a1a1a"/>
          <w:sz w:val="24"/>
          <w:szCs w:val="24"/>
        </w:rPr>
      </w:pPr>
      <w:r w:rsidDel="00000000" w:rsidR="00000000" w:rsidRPr="00000000">
        <w:rPr>
          <w:rFonts w:ascii="Poppins" w:cs="Poppins" w:eastAsia="Poppins" w:hAnsi="Poppins"/>
          <w:b w:val="1"/>
          <w:bCs w:val="1"/>
          <w:color w:val="1a1a1a"/>
          <w:sz w:val="24"/>
          <w:szCs w:val="24"/>
          <w:rtl w:val="0"/>
        </w:rPr>
        <w:t xml:space="preserve">Recommandation 2.3 : Piloter des composantes de budgétisation participative [Afrique subsaharienne]</w:t>
      </w:r>
    </w:p>
    <w:p w:rsidR="00000000" w:rsidDel="00000000" w:rsidP="00000000" w:rsidRDefault="00000000" w:rsidRPr="00000000" w14:paraId="0000014C">
      <w:pPr>
        <w:pStyle w:val="Heading2"/>
        <w:keepNext w:val="1"/>
        <w:spacing w:after="80" w:before="280" w:lineRule="auto"/>
        <w:jc w:val="both"/>
        <w:rPr>
          <w:rFonts w:ascii="Poppins" w:cs="Poppins" w:eastAsia="Poppins" w:hAnsi="Poppins"/>
          <w:b w:val="0"/>
          <w:bCs w:val="0"/>
          <w:color w:val="1a1a1a"/>
          <w:sz w:val="22"/>
          <w:szCs w:val="22"/>
        </w:rPr>
      </w:pPr>
      <w:bookmarkStart w:colFirst="0" w:colLast="0" w:name="_heading=h.fir34wp6dnll" w:id="35"/>
      <w:bookmarkEnd w:id="35"/>
      <w:r w:rsidDel="00000000" w:rsidR="00000000" w:rsidRPr="00000000">
        <w:rPr>
          <w:rFonts w:ascii="Poppins" w:cs="Poppins" w:eastAsia="Poppins" w:hAnsi="Poppins"/>
          <w:b w:val="0"/>
          <w:bCs w:val="0"/>
          <w:color w:val="1a1a1a"/>
          <w:sz w:val="22"/>
          <w:szCs w:val="22"/>
          <w:rtl w:val="0"/>
        </w:rPr>
        <w:t xml:space="preserve">Lorsque les partenaires des gouvernements locaux y sont disposés, EMPOWER+ devrait piloter des composantes de budgétisation participative au sein des activités RYP ou en parallèle de celles-ci, donnant aux délégués jeunes une autorité décisionnelle directe sur une allocation définie de ressources publiques. Même à petite échelle, la budgétisation participative fournit la démonstration la plus puissante que la participation des jeunes produit des résultats réels.</w:t>
      </w:r>
    </w:p>
    <w:p w:rsidR="00000000" w:rsidDel="00000000" w:rsidP="00000000" w:rsidRDefault="00000000" w:rsidRPr="00000000" w14:paraId="0000014D">
      <w:pPr>
        <w:pStyle w:val="Heading2"/>
        <w:keepNext w:val="1"/>
        <w:spacing w:after="80" w:before="280" w:lineRule="auto"/>
        <w:rPr>
          <w:rFonts w:ascii="Poppins" w:cs="Poppins" w:eastAsia="Poppins" w:hAnsi="Poppins"/>
          <w:color w:val="b7c3a1"/>
        </w:rPr>
      </w:pPr>
      <w:r w:rsidDel="00000000" w:rsidR="00000000" w:rsidRPr="00000000">
        <w:rPr>
          <w:rFonts w:ascii="Poppins" w:cs="Poppins" w:eastAsia="Poppins" w:hAnsi="Poppins"/>
          <w:color w:val="b7c3a1"/>
          <w:rtl w:val="0"/>
        </w:rPr>
        <w:t xml:space="preserve">Domaine de recommandation 3 : accessibilité rurale et inclusion radicale</w:t>
      </w:r>
    </w:p>
    <w:p w:rsidR="00000000" w:rsidDel="00000000" w:rsidP="00000000" w:rsidRDefault="00000000" w:rsidRPr="00000000" w14:paraId="0000014E">
      <w:pPr>
        <w:spacing w:after="100" w:before="60" w:lineRule="auto"/>
        <w:jc w:val="both"/>
        <w:rPr>
          <w:rFonts w:ascii="Poppins" w:cs="Poppins" w:eastAsia="Poppins" w:hAnsi="Poppins"/>
          <w:b w:val="1"/>
          <w:bCs w:val="1"/>
          <w:color w:val="1a1a1a"/>
          <w:sz w:val="24"/>
          <w:szCs w:val="24"/>
        </w:rPr>
      </w:pPr>
      <w:r w:rsidDel="00000000" w:rsidR="00000000" w:rsidRPr="00000000">
        <w:rPr>
          <w:rFonts w:ascii="Poppins" w:cs="Poppins" w:eastAsia="Poppins" w:hAnsi="Poppins"/>
          <w:b w:val="1"/>
          <w:bCs w:val="1"/>
          <w:color w:val="1a1a1a"/>
          <w:sz w:val="24"/>
          <w:szCs w:val="24"/>
          <w:rtl w:val="0"/>
        </w:rPr>
        <w:t xml:space="preserve">Recommandation 3.1 : Appliquer des critères d’accessibilité rurale à toutes les activités [Afrique subsaharienne]</w:t>
      </w:r>
    </w:p>
    <w:p w:rsidR="00000000" w:rsidDel="00000000" w:rsidP="00000000" w:rsidRDefault="00000000" w:rsidRPr="00000000" w14:paraId="0000014F">
      <w:pPr>
        <w:jc w:val="both"/>
        <w:rPr>
          <w:rFonts w:ascii="Poppins" w:cs="Poppins" w:eastAsia="Poppins" w:hAnsi="Poppins"/>
          <w:color w:val="1a1a1a"/>
        </w:rPr>
      </w:pPr>
      <w:r w:rsidDel="00000000" w:rsidR="00000000" w:rsidRPr="00000000">
        <w:rPr>
          <w:rFonts w:ascii="Poppins" w:cs="Poppins" w:eastAsia="Poppins" w:hAnsi="Poppins"/>
          <w:color w:val="1a1a1a"/>
          <w:rtl w:val="0"/>
        </w:rPr>
        <w:t xml:space="preserve">Toutes les activités RYP devraient être évaluées selon un ensemble standard de critères d’accessibilité rurale : calendrier ne entrant pas en conflit avec les saisons agricoles ; lieux accessibles sans transport privé ; indemnité journalière ou soutien au transport fourni comme pratique standard ; informations diffusées par des canaux réellement utilisés par les jeunes ruraux, notamment la radio communautaire et les réseaux de pairs ; et déroulement des travaux en langues locales avec une facilitation professionnelle.</w:t>
      </w:r>
    </w:p>
    <w:p w:rsidR="00000000" w:rsidDel="00000000" w:rsidP="00000000" w:rsidRDefault="00000000" w:rsidRPr="00000000" w14:paraId="00000150">
      <w:pPr>
        <w:rPr>
          <w:rFonts w:ascii="Poppins" w:cs="Poppins" w:eastAsia="Poppins" w:hAnsi="Poppins"/>
          <w:color w:val="1a1a1a"/>
        </w:rPr>
      </w:pPr>
      <w:r w:rsidDel="00000000" w:rsidR="00000000" w:rsidRPr="00000000">
        <w:rPr>
          <w:rtl w:val="0"/>
        </w:rPr>
      </w:r>
    </w:p>
    <w:p w:rsidR="00000000" w:rsidDel="00000000" w:rsidP="00000000" w:rsidRDefault="00000000" w:rsidRPr="00000000" w14:paraId="00000151">
      <w:pPr>
        <w:spacing w:after="100" w:before="60" w:lineRule="auto"/>
        <w:jc w:val="both"/>
        <w:rPr>
          <w:rFonts w:ascii="Poppins" w:cs="Poppins" w:eastAsia="Poppins" w:hAnsi="Poppins"/>
          <w:b w:val="1"/>
          <w:bCs w:val="1"/>
          <w:color w:val="1a1a1a"/>
          <w:sz w:val="24"/>
          <w:szCs w:val="24"/>
        </w:rPr>
      </w:pPr>
      <w:r w:rsidDel="00000000" w:rsidR="00000000" w:rsidRPr="00000000">
        <w:rPr>
          <w:rFonts w:ascii="Poppins" w:cs="Poppins" w:eastAsia="Poppins" w:hAnsi="Poppins"/>
          <w:b w:val="1"/>
          <w:bCs w:val="1"/>
          <w:color w:val="1a1a1a"/>
          <w:sz w:val="24"/>
          <w:szCs w:val="24"/>
          <w:rtl w:val="0"/>
        </w:rPr>
        <w:t xml:space="preserve">Recommandation 3.2 : Établir des quotas minimaux de représentation [Afrique subsaharienne]</w:t>
      </w:r>
    </w:p>
    <w:p w:rsidR="00000000" w:rsidDel="00000000" w:rsidP="00000000" w:rsidRDefault="00000000" w:rsidRPr="00000000" w14:paraId="00000152">
      <w:pPr>
        <w:jc w:val="both"/>
        <w:rPr>
          <w:rFonts w:ascii="Poppins" w:cs="Poppins" w:eastAsia="Poppins" w:hAnsi="Poppins"/>
          <w:color w:val="1a1a1a"/>
        </w:rPr>
      </w:pPr>
      <w:r w:rsidDel="00000000" w:rsidR="00000000" w:rsidRPr="00000000">
        <w:rPr>
          <w:rFonts w:ascii="Poppins" w:cs="Poppins" w:eastAsia="Poppins" w:hAnsi="Poppins"/>
          <w:color w:val="1a1a1a"/>
          <w:rtl w:val="0"/>
        </w:rPr>
        <w:t xml:space="preserve">Les constitutions RYP devraient inclure des quotas minimaux de représentation applicables : au minimum cinquante pour cent des sièges occupés par des jeunes femmes ; des sièges réservés spécifiques ou une sensibilisation ciblée pour les jeunes en situation de handicap ; une représentation minimale des jeunes ayant quitté l’école et des jeunes qui ne sont ni en éducation, ni en emploi, ni en formation ; et des mécanismes garantissant que les jeunes des communautés les plus reculées soient systématiquement inclus.</w:t>
      </w:r>
    </w:p>
    <w:p w:rsidR="00000000" w:rsidDel="00000000" w:rsidP="00000000" w:rsidRDefault="00000000" w:rsidRPr="00000000" w14:paraId="00000153">
      <w:pPr>
        <w:rPr>
          <w:rFonts w:ascii="Poppins" w:cs="Poppins" w:eastAsia="Poppins" w:hAnsi="Poppins"/>
          <w:color w:val="1a1a1a"/>
        </w:rPr>
      </w:pPr>
      <w:r w:rsidDel="00000000" w:rsidR="00000000" w:rsidRPr="00000000">
        <w:rPr>
          <w:rtl w:val="0"/>
        </w:rPr>
      </w:r>
    </w:p>
    <w:p w:rsidR="00000000" w:rsidDel="00000000" w:rsidP="00000000" w:rsidRDefault="00000000" w:rsidRPr="00000000" w14:paraId="00000154">
      <w:pPr>
        <w:rPr>
          <w:rFonts w:ascii="Poppins" w:cs="Poppins" w:eastAsia="Poppins" w:hAnsi="Poppins"/>
          <w:color w:val="1a1a1a"/>
        </w:rPr>
      </w:pPr>
      <w:r w:rsidDel="00000000" w:rsidR="00000000" w:rsidRPr="00000000">
        <w:rPr>
          <w:rtl w:val="0"/>
        </w:rPr>
      </w:r>
    </w:p>
    <w:p w:rsidR="00000000" w:rsidDel="00000000" w:rsidP="00000000" w:rsidRDefault="00000000" w:rsidRPr="00000000" w14:paraId="00000155">
      <w:pPr>
        <w:rPr>
          <w:rFonts w:ascii="Poppins" w:cs="Poppins" w:eastAsia="Poppins" w:hAnsi="Poppins"/>
          <w:color w:val="1a1a1a"/>
        </w:rPr>
      </w:pPr>
      <w:r w:rsidDel="00000000" w:rsidR="00000000" w:rsidRPr="00000000">
        <w:rPr>
          <w:rtl w:val="0"/>
        </w:rPr>
      </w:r>
    </w:p>
    <w:p w:rsidR="00000000" w:rsidDel="00000000" w:rsidP="00000000" w:rsidRDefault="00000000" w:rsidRPr="00000000" w14:paraId="00000156">
      <w:pPr>
        <w:rPr>
          <w:rFonts w:ascii="Poppins" w:cs="Poppins" w:eastAsia="Poppins" w:hAnsi="Poppins"/>
          <w:color w:val="1a1a1a"/>
        </w:rPr>
      </w:pPr>
      <w:r w:rsidDel="00000000" w:rsidR="00000000" w:rsidRPr="00000000">
        <w:rPr>
          <w:rtl w:val="0"/>
        </w:rPr>
      </w:r>
    </w:p>
    <w:p w:rsidR="00000000" w:rsidDel="00000000" w:rsidP="00000000" w:rsidRDefault="00000000" w:rsidRPr="00000000" w14:paraId="00000157">
      <w:pPr>
        <w:spacing w:after="100" w:before="60" w:lineRule="auto"/>
        <w:jc w:val="both"/>
        <w:rPr>
          <w:rFonts w:ascii="Poppins" w:cs="Poppins" w:eastAsia="Poppins" w:hAnsi="Poppins"/>
          <w:b w:val="1"/>
          <w:bCs w:val="1"/>
          <w:color w:val="1a1a1a"/>
          <w:sz w:val="24"/>
          <w:szCs w:val="24"/>
        </w:rPr>
      </w:pPr>
      <w:r w:rsidDel="00000000" w:rsidR="00000000" w:rsidRPr="00000000">
        <w:rPr>
          <w:rFonts w:ascii="Poppins" w:cs="Poppins" w:eastAsia="Poppins" w:hAnsi="Poppins"/>
          <w:b w:val="1"/>
          <w:bCs w:val="1"/>
          <w:color w:val="1a1a1a"/>
          <w:sz w:val="24"/>
          <w:szCs w:val="24"/>
          <w:rtl w:val="0"/>
        </w:rPr>
        <w:t xml:space="preserve">Recommandation 3.3 : Investir dans les médiateurs jeunesse comme infrastructure permanente [TOUS]</w:t>
      </w:r>
    </w:p>
    <w:p w:rsidR="00000000" w:rsidDel="00000000" w:rsidP="00000000" w:rsidRDefault="00000000" w:rsidRPr="00000000" w14:paraId="00000158">
      <w:pPr>
        <w:spacing w:after="100" w:before="60" w:lineRule="auto"/>
        <w:jc w:val="both"/>
        <w:rPr>
          <w:rFonts w:ascii="Poppins" w:cs="Poppins" w:eastAsia="Poppins" w:hAnsi="Poppins"/>
          <w:color w:val="1a1a1a"/>
        </w:rPr>
      </w:pPr>
      <w:r w:rsidDel="00000000" w:rsidR="00000000" w:rsidRPr="00000000">
        <w:rPr>
          <w:rFonts w:ascii="Poppins" w:cs="Poppins" w:eastAsia="Poppins" w:hAnsi="Poppins"/>
          <w:color w:val="1a1a1a"/>
          <w:rtl w:val="0"/>
        </w:rPr>
        <w:t xml:space="preserve">Les travailleurs de jeunesse et les facilitateurs qui développent la littératie participative, la confiance et la compétence civique rendant possible la participation délibérative des jeunes les plus exclus ne sont pas un luxe de projet. Ils constituent une infrastructure essentielle de participation. La formation et la rémunération des travailleurs jeunesse communautaires et des facilitateurs RYP devraient être intégrées dans chaque budget opérationnel RYP comme élément non négociable.</w:t>
      </w:r>
    </w:p>
    <w:p w:rsidR="00000000" w:rsidDel="00000000" w:rsidP="00000000" w:rsidRDefault="00000000" w:rsidRPr="00000000" w14:paraId="00000159">
      <w:pPr>
        <w:pStyle w:val="Heading2"/>
        <w:keepNext w:val="1"/>
        <w:spacing w:after="80" w:before="280" w:lineRule="auto"/>
        <w:rPr>
          <w:rFonts w:ascii="Poppins" w:cs="Poppins" w:eastAsia="Poppins" w:hAnsi="Poppins"/>
          <w:color w:val="b7c3a1"/>
        </w:rPr>
      </w:pPr>
      <w:r w:rsidDel="00000000" w:rsidR="00000000" w:rsidRPr="00000000">
        <w:rPr>
          <w:rFonts w:ascii="Poppins" w:cs="Poppins" w:eastAsia="Poppins" w:hAnsi="Poppins"/>
          <w:color w:val="b7c3a1"/>
          <w:rtl w:val="0"/>
        </w:rPr>
        <w:t xml:space="preserve">Domaine de recommandation 4 : sensibilité culturelle et partenariat intergénérationnel</w:t>
      </w:r>
    </w:p>
    <w:p w:rsidR="00000000" w:rsidDel="00000000" w:rsidP="00000000" w:rsidRDefault="00000000" w:rsidRPr="00000000" w14:paraId="0000015A">
      <w:pPr>
        <w:spacing w:after="100" w:before="60" w:lineRule="auto"/>
        <w:jc w:val="both"/>
        <w:rPr>
          <w:rFonts w:ascii="Poppins" w:cs="Poppins" w:eastAsia="Poppins" w:hAnsi="Poppins"/>
          <w:b w:val="1"/>
          <w:bCs w:val="1"/>
          <w:color w:val="1a1a1a"/>
          <w:sz w:val="24"/>
          <w:szCs w:val="24"/>
        </w:rPr>
      </w:pPr>
      <w:r w:rsidDel="00000000" w:rsidR="00000000" w:rsidRPr="00000000">
        <w:rPr>
          <w:rFonts w:ascii="Poppins" w:cs="Poppins" w:eastAsia="Poppins" w:hAnsi="Poppins"/>
          <w:b w:val="1"/>
          <w:bCs w:val="1"/>
          <w:color w:val="1a1a1a"/>
          <w:sz w:val="24"/>
          <w:szCs w:val="24"/>
          <w:rtl w:val="0"/>
        </w:rPr>
        <w:t xml:space="preserve">Recommandation 4.1 : Engager les leaders traditionnels comme partenaires formels [Afrique subsaharienne]</w:t>
      </w:r>
    </w:p>
    <w:p w:rsidR="00000000" w:rsidDel="00000000" w:rsidP="00000000" w:rsidRDefault="00000000" w:rsidRPr="00000000" w14:paraId="0000015B">
      <w:pPr>
        <w:jc w:val="both"/>
        <w:rPr>
          <w:rFonts w:ascii="Poppins" w:cs="Poppins" w:eastAsia="Poppins" w:hAnsi="Poppins"/>
          <w:color w:val="1a1a1a"/>
        </w:rPr>
      </w:pPr>
      <w:r w:rsidDel="00000000" w:rsidR="00000000" w:rsidRPr="00000000">
        <w:rPr>
          <w:rFonts w:ascii="Poppins" w:cs="Poppins" w:eastAsia="Poppins" w:hAnsi="Poppins"/>
          <w:color w:val="1a1a1a"/>
          <w:rtl w:val="0"/>
        </w:rPr>
        <w:t xml:space="preserve">Les chefs, les anciens, le Kgosi et les conseils émiraux devraient être engagés comme partenaires actifs et formels dans la conception, le lancement et la gouvernance continue des RYPs. Leur participation active au lancement du RYP et la réception régulière des résultats du RYP contribuent à la légitimité communautaire qui permet aux voix des jeunes au sein du RYP d’être prises au sérieux.</w:t>
      </w:r>
    </w:p>
    <w:p w:rsidR="00000000" w:rsidDel="00000000" w:rsidP="00000000" w:rsidRDefault="00000000" w:rsidRPr="00000000" w14:paraId="0000015C">
      <w:pPr>
        <w:jc w:val="both"/>
        <w:rPr>
          <w:rFonts w:ascii="Poppins" w:cs="Poppins" w:eastAsia="Poppins" w:hAnsi="Poppins"/>
          <w:color w:val="1a1a1a"/>
        </w:rPr>
      </w:pPr>
      <w:r w:rsidDel="00000000" w:rsidR="00000000" w:rsidRPr="00000000">
        <w:rPr>
          <w:rtl w:val="0"/>
        </w:rPr>
      </w:r>
    </w:p>
    <w:p w:rsidR="00000000" w:rsidDel="00000000" w:rsidP="00000000" w:rsidRDefault="00000000" w:rsidRPr="00000000" w14:paraId="0000015D">
      <w:pPr>
        <w:spacing w:after="100" w:before="60" w:lineRule="auto"/>
        <w:jc w:val="both"/>
        <w:rPr>
          <w:rFonts w:ascii="Poppins" w:cs="Poppins" w:eastAsia="Poppins" w:hAnsi="Poppins"/>
          <w:b w:val="1"/>
          <w:bCs w:val="1"/>
          <w:color w:val="1a1a1a"/>
          <w:sz w:val="24"/>
          <w:szCs w:val="24"/>
        </w:rPr>
      </w:pPr>
      <w:r w:rsidDel="00000000" w:rsidR="00000000" w:rsidRPr="00000000">
        <w:rPr>
          <w:rFonts w:ascii="Poppins" w:cs="Poppins" w:eastAsia="Poppins" w:hAnsi="Poppins"/>
          <w:b w:val="1"/>
          <w:bCs w:val="1"/>
          <w:color w:val="1a1a1a"/>
          <w:sz w:val="24"/>
          <w:szCs w:val="24"/>
          <w:rtl w:val="0"/>
        </w:rPr>
        <w:t xml:space="preserve">Recommandation 4.2 : Adapter les formats de délibération aux cultures locales de communication [Afrique subsaharienne]</w:t>
      </w:r>
    </w:p>
    <w:p w:rsidR="00000000" w:rsidDel="00000000" w:rsidP="00000000" w:rsidRDefault="00000000" w:rsidRPr="00000000" w14:paraId="0000015E">
      <w:pPr>
        <w:pStyle w:val="Heading2"/>
        <w:keepNext w:val="1"/>
        <w:spacing w:after="80" w:before="280" w:lineRule="auto"/>
        <w:jc w:val="both"/>
        <w:rPr>
          <w:rFonts w:ascii="Poppins" w:cs="Poppins" w:eastAsia="Poppins" w:hAnsi="Poppins"/>
          <w:b w:val="0"/>
          <w:bCs w:val="0"/>
          <w:color w:val="1a1a1a"/>
          <w:sz w:val="22"/>
          <w:szCs w:val="22"/>
        </w:rPr>
      </w:pPr>
      <w:bookmarkStart w:colFirst="0" w:colLast="0" w:name="_heading=h.ya8xrbsv5v8d" w:id="36"/>
      <w:bookmarkEnd w:id="36"/>
      <w:r w:rsidDel="00000000" w:rsidR="00000000" w:rsidRPr="00000000">
        <w:rPr>
          <w:rFonts w:ascii="Poppins" w:cs="Poppins" w:eastAsia="Poppins" w:hAnsi="Poppins"/>
          <w:b w:val="0"/>
          <w:bCs w:val="0"/>
          <w:color w:val="1a1a1a"/>
          <w:sz w:val="22"/>
          <w:szCs w:val="22"/>
          <w:rtl w:val="0"/>
        </w:rPr>
        <w:t xml:space="preserve">Le format de simulation parlementaire peut nécessiter une adaptation significative dans les contextes caractérisés par la tradition orale, les normes de narration et les schémas de communication des assemblées communautaires. Le processus délibératif sous-jacent est adaptable ; le format parlementaire spécifique n’est pas une exigence fixe. EMPOWER+ devrait soutenir chaque partenaire d’Afrique subsaharienne dans la co-conception d’un format de délibération culturellement pertinent pour son contexte spécifique.</w:t>
      </w:r>
    </w:p>
    <w:p w:rsidR="00000000" w:rsidDel="00000000" w:rsidP="00000000" w:rsidRDefault="00000000" w:rsidRPr="00000000" w14:paraId="0000015F">
      <w:pPr>
        <w:pStyle w:val="Heading2"/>
        <w:keepNext w:val="1"/>
        <w:spacing w:after="80" w:before="280" w:lineRule="auto"/>
        <w:rPr>
          <w:rFonts w:ascii="Poppins" w:cs="Poppins" w:eastAsia="Poppins" w:hAnsi="Poppins"/>
          <w:color w:val="b7c3a1"/>
        </w:rPr>
      </w:pPr>
      <w:r w:rsidDel="00000000" w:rsidR="00000000" w:rsidRPr="00000000">
        <w:rPr>
          <w:rFonts w:ascii="Poppins" w:cs="Poppins" w:eastAsia="Poppins" w:hAnsi="Poppins"/>
          <w:color w:val="b7c3a1"/>
          <w:rtl w:val="0"/>
        </w:rPr>
        <w:t xml:space="preserve">Domaine de recommandation 5 : financement durable et suivi de l’impact</w:t>
      </w:r>
    </w:p>
    <w:p w:rsidR="00000000" w:rsidDel="00000000" w:rsidP="00000000" w:rsidRDefault="00000000" w:rsidRPr="00000000" w14:paraId="00000160">
      <w:pPr>
        <w:spacing w:after="100" w:before="60" w:lineRule="auto"/>
        <w:jc w:val="both"/>
        <w:rPr>
          <w:rFonts w:ascii="Poppins" w:cs="Poppins" w:eastAsia="Poppins" w:hAnsi="Poppins"/>
          <w:b w:val="1"/>
          <w:bCs w:val="1"/>
          <w:color w:val="1a1a1a"/>
          <w:sz w:val="24"/>
          <w:szCs w:val="24"/>
        </w:rPr>
      </w:pPr>
      <w:r w:rsidDel="00000000" w:rsidR="00000000" w:rsidRPr="00000000">
        <w:rPr>
          <w:rFonts w:ascii="Poppins" w:cs="Poppins" w:eastAsia="Poppins" w:hAnsi="Poppins"/>
          <w:b w:val="1"/>
          <w:bCs w:val="1"/>
          <w:color w:val="1a1a1a"/>
          <w:sz w:val="24"/>
          <w:szCs w:val="24"/>
          <w:rtl w:val="0"/>
        </w:rPr>
        <w:t xml:space="preserve">Recommandation 5.1 : Développer des modèles de financement multi-sources [TOUS]</w:t>
      </w:r>
    </w:p>
    <w:p w:rsidR="00000000" w:rsidDel="00000000" w:rsidP="00000000" w:rsidRDefault="00000000" w:rsidRPr="00000000" w14:paraId="00000161">
      <w:pPr>
        <w:jc w:val="both"/>
        <w:rPr>
          <w:rFonts w:ascii="Poppins" w:cs="Poppins" w:eastAsia="Poppins" w:hAnsi="Poppins"/>
          <w:color w:val="1a1a1a"/>
        </w:rPr>
      </w:pPr>
      <w:r w:rsidDel="00000000" w:rsidR="00000000" w:rsidRPr="00000000">
        <w:rPr>
          <w:rFonts w:ascii="Poppins" w:cs="Poppins" w:eastAsia="Poppins" w:hAnsi="Poppins"/>
          <w:color w:val="1a1a1a"/>
          <w:rtl w:val="0"/>
        </w:rPr>
        <w:t xml:space="preserve">Chaque RYP devrait disposer d’un plan de durabilité financière combinant au minimum trois sources : une contribution institutionnelle publique du gouvernement local ; un financement de facilitation de la société civile par l’organisation partenaire principale ; et un cofinancement externe pendant la période du projet. Le plan de transition du financement externe vers un financement principalement institutionnel devrait être explicite et limité dans le temps.</w:t>
      </w:r>
    </w:p>
    <w:p w:rsidR="00000000" w:rsidDel="00000000" w:rsidP="00000000" w:rsidRDefault="00000000" w:rsidRPr="00000000" w14:paraId="00000162">
      <w:pPr>
        <w:rPr>
          <w:rFonts w:ascii="Poppins" w:cs="Poppins" w:eastAsia="Poppins" w:hAnsi="Poppins"/>
          <w:color w:val="1a1a1a"/>
        </w:rPr>
      </w:pPr>
      <w:r w:rsidDel="00000000" w:rsidR="00000000" w:rsidRPr="00000000">
        <w:rPr>
          <w:rtl w:val="0"/>
        </w:rPr>
      </w:r>
    </w:p>
    <w:p w:rsidR="00000000" w:rsidDel="00000000" w:rsidP="00000000" w:rsidRDefault="00000000" w:rsidRPr="00000000" w14:paraId="00000163">
      <w:pPr>
        <w:spacing w:after="100" w:before="60" w:lineRule="auto"/>
        <w:jc w:val="both"/>
        <w:rPr>
          <w:rFonts w:ascii="Poppins" w:cs="Poppins" w:eastAsia="Poppins" w:hAnsi="Poppins"/>
          <w:b w:val="1"/>
          <w:bCs w:val="1"/>
          <w:color w:val="1a1a1a"/>
          <w:sz w:val="24"/>
          <w:szCs w:val="24"/>
        </w:rPr>
      </w:pPr>
      <w:r w:rsidDel="00000000" w:rsidR="00000000" w:rsidRPr="00000000">
        <w:rPr>
          <w:rFonts w:ascii="Poppins" w:cs="Poppins" w:eastAsia="Poppins" w:hAnsi="Poppins"/>
          <w:b w:val="1"/>
          <w:bCs w:val="1"/>
          <w:color w:val="1a1a1a"/>
          <w:sz w:val="24"/>
          <w:szCs w:val="24"/>
          <w:rtl w:val="0"/>
        </w:rPr>
        <w:t xml:space="preserve">Recommandation 5.2 : Construire le suivi et l’évaluation dès le départ [TOUS]</w:t>
      </w:r>
    </w:p>
    <w:p w:rsidR="00000000" w:rsidDel="00000000" w:rsidP="00000000" w:rsidRDefault="00000000" w:rsidRPr="00000000" w14:paraId="00000164">
      <w:pPr>
        <w:jc w:val="both"/>
        <w:rPr>
          <w:rFonts w:ascii="Poppins" w:cs="Poppins" w:eastAsia="Poppins" w:hAnsi="Poppins"/>
          <w:color w:val="1a1a1a"/>
        </w:rPr>
      </w:pPr>
      <w:r w:rsidDel="00000000" w:rsidR="00000000" w:rsidRPr="00000000">
        <w:rPr>
          <w:rFonts w:ascii="Poppins" w:cs="Poppins" w:eastAsia="Poppins" w:hAnsi="Poppins"/>
          <w:color w:val="1a1a1a"/>
          <w:rtl w:val="0"/>
        </w:rPr>
        <w:t xml:space="preserve">Le cadre de suivi de chaque RYP devrait suivre des indicateurs de qualité au-delà du simple comptage des participants : le confort des jeunes à exprimer leurs points de vue ; le degré auquel les résultats du RYP influencent les décisions de gouvernance ; la représentativité des membres ; la durabilité à travers les périodes de financement par projet ; et le taux de réponse institutionnelle aux propositions du RYP.</w:t>
      </w:r>
    </w:p>
    <w:p w:rsidR="00000000" w:rsidDel="00000000" w:rsidP="00000000" w:rsidRDefault="00000000" w:rsidRPr="00000000" w14:paraId="00000165">
      <w:pPr>
        <w:spacing w:after="100" w:before="60" w:lineRule="auto"/>
        <w:jc w:val="both"/>
        <w:rPr>
          <w:rFonts w:ascii="Poppins" w:cs="Poppins" w:eastAsia="Poppins" w:hAnsi="Poppins"/>
          <w:b w:val="1"/>
          <w:bCs w:val="1"/>
          <w:color w:val="1a1a1a"/>
          <w:sz w:val="24"/>
          <w:szCs w:val="24"/>
        </w:rPr>
      </w:pPr>
      <w:r w:rsidDel="00000000" w:rsidR="00000000" w:rsidRPr="00000000">
        <w:rPr>
          <w:rFonts w:ascii="Poppins" w:cs="Poppins" w:eastAsia="Poppins" w:hAnsi="Poppins"/>
          <w:b w:val="1"/>
          <w:bCs w:val="1"/>
          <w:color w:val="1a1a1a"/>
          <w:sz w:val="24"/>
          <w:szCs w:val="24"/>
          <w:rtl w:val="0"/>
        </w:rPr>
        <w:t xml:space="preserve">Recommandation 5.3 : Établir des mécanismes de durabilité indépendants d’EMPOWER+ [TOUS]</w:t>
      </w:r>
    </w:p>
    <w:p w:rsidR="00000000" w:rsidDel="00000000" w:rsidP="00000000" w:rsidRDefault="00000000" w:rsidRPr="00000000" w14:paraId="00000166">
      <w:pPr>
        <w:spacing w:after="100" w:before="60" w:lineRule="auto"/>
        <w:jc w:val="both"/>
        <w:rPr>
          <w:rFonts w:ascii="Poppins" w:cs="Poppins" w:eastAsia="Poppins" w:hAnsi="Poppins"/>
        </w:rPr>
      </w:pPr>
      <w:r w:rsidDel="00000000" w:rsidR="00000000" w:rsidRPr="00000000">
        <w:rPr>
          <w:rFonts w:ascii="Poppins" w:cs="Poppins" w:eastAsia="Poppins" w:hAnsi="Poppins"/>
          <w:color w:val="1a1a1a"/>
          <w:rtl w:val="0"/>
        </w:rPr>
        <w:t xml:space="preserve">Dès la première année de fonctionnement du RYP, des mesures délibérées devraient être prises pour établir des mécanismes qui ne dépendent pas du financement du projet EMPOWER+ : former des facilitateurs locaux à diriger sans soutien externe ; intégrer les activités RYP dans les calendriers annuels de gouvernance ; et créer des réseaux de transfert de connaissances entre pairs. La mesure du succès est ce qui perdure après la fin du projet.</w:t>
      </w:r>
      <w:r w:rsidDel="00000000" w:rsidR="00000000" w:rsidRPr="00000000">
        <w:rPr>
          <w:rtl w:val="0"/>
        </w:rPr>
      </w:r>
    </w:p>
    <w:p w:rsidR="00000000" w:rsidDel="00000000" w:rsidP="00000000" w:rsidRDefault="00000000" w:rsidRPr="00000000" w14:paraId="00000167">
      <w:pPr>
        <w:pStyle w:val="Heading2"/>
        <w:keepNext w:val="1"/>
        <w:spacing w:after="80" w:before="280" w:lineRule="auto"/>
        <w:rPr>
          <w:rFonts w:ascii="Poppins" w:cs="Poppins" w:eastAsia="Poppins" w:hAnsi="Poppins"/>
          <w:color w:val="b7c3a1"/>
        </w:rPr>
      </w:pPr>
      <w:r w:rsidDel="00000000" w:rsidR="00000000" w:rsidRPr="00000000">
        <w:rPr>
          <w:rFonts w:ascii="Poppins" w:cs="Poppins" w:eastAsia="Poppins" w:hAnsi="Poppins"/>
          <w:color w:val="b7c3a1"/>
          <w:rtl w:val="0"/>
        </w:rPr>
        <w:t xml:space="preserve">Domaine de recommandation 6 : échange de connaissances Europe–Afrique subsaharienne</w:t>
      </w:r>
    </w:p>
    <w:p w:rsidR="00000000" w:rsidDel="00000000" w:rsidP="00000000" w:rsidRDefault="00000000" w:rsidRPr="00000000" w14:paraId="00000168">
      <w:pPr>
        <w:spacing w:after="100" w:before="60" w:lineRule="auto"/>
        <w:jc w:val="both"/>
        <w:rPr>
          <w:rFonts w:ascii="Poppins" w:cs="Poppins" w:eastAsia="Poppins" w:hAnsi="Poppins"/>
          <w:b w:val="1"/>
          <w:bCs w:val="1"/>
          <w:color w:val="1a1a1a"/>
          <w:sz w:val="24"/>
          <w:szCs w:val="24"/>
        </w:rPr>
      </w:pPr>
      <w:r w:rsidDel="00000000" w:rsidR="00000000" w:rsidRPr="00000000">
        <w:rPr>
          <w:rFonts w:ascii="Poppins" w:cs="Poppins" w:eastAsia="Poppins" w:hAnsi="Poppins"/>
          <w:b w:val="1"/>
          <w:bCs w:val="1"/>
          <w:color w:val="1a1a1a"/>
          <w:sz w:val="24"/>
          <w:szCs w:val="24"/>
          <w:rtl w:val="0"/>
        </w:rPr>
        <w:t xml:space="preserve">Recommandation 6.1 : Faciliter un apprentissage structuré entre pairs [TOUS]</w:t>
      </w:r>
    </w:p>
    <w:p w:rsidR="00000000" w:rsidDel="00000000" w:rsidP="00000000" w:rsidRDefault="00000000" w:rsidRPr="00000000" w14:paraId="00000169">
      <w:pPr>
        <w:jc w:val="both"/>
        <w:rPr>
          <w:rFonts w:ascii="Poppins" w:cs="Poppins" w:eastAsia="Poppins" w:hAnsi="Poppins"/>
          <w:color w:val="1a1a1a"/>
        </w:rPr>
      </w:pPr>
      <w:r w:rsidDel="00000000" w:rsidR="00000000" w:rsidRPr="00000000">
        <w:rPr>
          <w:rFonts w:ascii="Poppins" w:cs="Poppins" w:eastAsia="Poppins" w:hAnsi="Poppins"/>
          <w:color w:val="1a1a1a"/>
          <w:rtl w:val="0"/>
        </w:rPr>
        <w:t xml:space="preserve">Des échanges spécifiques d’apprentissage entre pairs devraient être structurés entre les organisations partenaires disposant d’expertises complémentaires : la Roumanie avec le Nigeria sur la méthodologie de simulation parlementaire ; l’Italie avec le Botswana sur les approches d’autonomisation ; la Grèce avec Maurice sur l’intégration institutionnelle. Ces échanges devraient être documentés et les leçons intégrées systématiquement dans la base de connaissances de la plateforme.</w:t>
      </w:r>
    </w:p>
    <w:p w:rsidR="00000000" w:rsidDel="00000000" w:rsidP="00000000" w:rsidRDefault="00000000" w:rsidRPr="00000000" w14:paraId="0000016A">
      <w:pPr>
        <w:jc w:val="both"/>
        <w:rPr>
          <w:rFonts w:ascii="Poppins" w:cs="Poppins" w:eastAsia="Poppins" w:hAnsi="Poppins"/>
          <w:color w:val="1a1a1a"/>
        </w:rPr>
      </w:pPr>
      <w:r w:rsidDel="00000000" w:rsidR="00000000" w:rsidRPr="00000000">
        <w:rPr>
          <w:rtl w:val="0"/>
        </w:rPr>
      </w:r>
    </w:p>
    <w:p w:rsidR="00000000" w:rsidDel="00000000" w:rsidP="00000000" w:rsidRDefault="00000000" w:rsidRPr="00000000" w14:paraId="0000016B">
      <w:pPr>
        <w:spacing w:after="100" w:before="60" w:lineRule="auto"/>
        <w:jc w:val="both"/>
        <w:rPr>
          <w:rFonts w:ascii="Poppins" w:cs="Poppins" w:eastAsia="Poppins" w:hAnsi="Poppins"/>
          <w:b w:val="1"/>
          <w:bCs w:val="1"/>
          <w:color w:val="1a1a1a"/>
          <w:sz w:val="24"/>
          <w:szCs w:val="24"/>
        </w:rPr>
      </w:pPr>
      <w:r w:rsidDel="00000000" w:rsidR="00000000" w:rsidRPr="00000000">
        <w:rPr>
          <w:rFonts w:ascii="Poppins" w:cs="Poppins" w:eastAsia="Poppins" w:hAnsi="Poppins"/>
          <w:b w:val="1"/>
          <w:bCs w:val="1"/>
          <w:color w:val="1a1a1a"/>
          <w:sz w:val="24"/>
          <w:szCs w:val="24"/>
          <w:rtl w:val="0"/>
        </w:rPr>
        <w:t xml:space="preserve">Recommandation 6.2 : Adapter et piloter les méthodologies européennes [TOUS]</w:t>
      </w:r>
    </w:p>
    <w:p w:rsidR="00000000" w:rsidDel="00000000" w:rsidP="00000000" w:rsidRDefault="00000000" w:rsidRPr="00000000" w14:paraId="0000016C">
      <w:pPr>
        <w:jc w:val="both"/>
        <w:rPr>
          <w:rFonts w:ascii="Poppins" w:cs="Poppins" w:eastAsia="Poppins" w:hAnsi="Poppins"/>
          <w:color w:val="1a1a1a"/>
        </w:rPr>
      </w:pPr>
      <w:r w:rsidDel="00000000" w:rsidR="00000000" w:rsidRPr="00000000">
        <w:rPr>
          <w:rFonts w:ascii="Poppins" w:cs="Poppins" w:eastAsia="Poppins" w:hAnsi="Poppins"/>
          <w:color w:val="1a1a1a"/>
          <w:rtl w:val="0"/>
        </w:rPr>
        <w:t xml:space="preserve">La méthodologie RYP roumaine et le modèle de Groupe de soutien local YEPP italien devraient être formellement co-conçus pour chaque contexte d’Afrique subsaharienne à travers un processus collaboratif avant d’être pilotés et évalués. La co-conception n’est pas un simple exercice de traduction ; elle exige un véritable échange bidirectionnel dans lequel la connaissance communautaire d’Afrique subsaharienne façonne l’adaptation autant que la méthodologie européenne.</w:t>
      </w:r>
    </w:p>
    <w:p w:rsidR="00000000" w:rsidDel="00000000" w:rsidP="00000000" w:rsidRDefault="00000000" w:rsidRPr="00000000" w14:paraId="0000016D">
      <w:pPr>
        <w:rPr>
          <w:rFonts w:ascii="Poppins" w:cs="Poppins" w:eastAsia="Poppins" w:hAnsi="Poppins"/>
          <w:color w:val="1a1a1a"/>
        </w:rPr>
      </w:pPr>
      <w:r w:rsidDel="00000000" w:rsidR="00000000" w:rsidRPr="00000000">
        <w:rPr>
          <w:rtl w:val="0"/>
        </w:rPr>
      </w:r>
    </w:p>
    <w:p w:rsidR="00000000" w:rsidDel="00000000" w:rsidP="00000000" w:rsidRDefault="00000000" w:rsidRPr="00000000" w14:paraId="0000016E">
      <w:pPr>
        <w:spacing w:after="100" w:before="60" w:lineRule="auto"/>
        <w:jc w:val="both"/>
        <w:rPr>
          <w:rFonts w:ascii="Poppins" w:cs="Poppins" w:eastAsia="Poppins" w:hAnsi="Poppins"/>
          <w:b w:val="1"/>
          <w:bCs w:val="1"/>
          <w:color w:val="1a1a1a"/>
          <w:sz w:val="24"/>
          <w:szCs w:val="24"/>
        </w:rPr>
      </w:pPr>
      <w:r w:rsidDel="00000000" w:rsidR="00000000" w:rsidRPr="00000000">
        <w:rPr>
          <w:rFonts w:ascii="Poppins" w:cs="Poppins" w:eastAsia="Poppins" w:hAnsi="Poppins"/>
          <w:b w:val="1"/>
          <w:bCs w:val="1"/>
          <w:color w:val="1a1a1a"/>
          <w:sz w:val="24"/>
          <w:szCs w:val="24"/>
          <w:rtl w:val="0"/>
        </w:rPr>
        <w:t xml:space="preserve">Recommandation 6.3 : Construire la plateforme EMPOWER+ comme ressource comparative vivante [TOUS]</w:t>
      </w:r>
    </w:p>
    <w:p w:rsidR="00000000" w:rsidDel="00000000" w:rsidP="00000000" w:rsidRDefault="00000000" w:rsidRPr="00000000" w14:paraId="0000016F">
      <w:pPr>
        <w:jc w:val="both"/>
        <w:rPr>
          <w:rFonts w:ascii="Poppins" w:cs="Poppins" w:eastAsia="Poppins" w:hAnsi="Poppins"/>
        </w:rPr>
      </w:pPr>
      <w:r w:rsidDel="00000000" w:rsidR="00000000" w:rsidRPr="00000000">
        <w:rPr>
          <w:rFonts w:ascii="Poppins" w:cs="Poppins" w:eastAsia="Poppins" w:hAnsi="Poppins"/>
          <w:color w:val="1a1a1a"/>
          <w:rtl w:val="0"/>
        </w:rPr>
        <w:t xml:space="preserve">La plateforme en ligne EMPOWER+ devrait être conçue comme une ressource comparative vivante : un répertoire d’outils de participation, de cadres juridiques, de bonnes pratiques, de guides de facilitation et d’histoires communautaires accessibles aux travailleurs de jeunesse, aux décideurs, aux jeunes et aux chercheurs dans tous les pays partenaires. Sa valeur dépend d’une conception multilingue, d’une fonctionnalité hors ligne pour les utilisateurs ruraux d’Afrique subsaharienne et de sa maintenance après la période du projet.</w:t>
      </w:r>
      <w:r w:rsidDel="00000000" w:rsidR="00000000" w:rsidRPr="00000000">
        <w:br w:type="page"/>
      </w:r>
      <w:r w:rsidDel="00000000" w:rsidR="00000000" w:rsidRPr="00000000">
        <w:rPr>
          <w:rtl w:val="0"/>
        </w:rPr>
      </w:r>
    </w:p>
    <w:p w:rsidR="00000000" w:rsidDel="00000000" w:rsidP="00000000" w:rsidRDefault="00000000" w:rsidRPr="00000000" w14:paraId="00000170">
      <w:pPr>
        <w:pStyle w:val="Heading1"/>
        <w:keepNext w:val="1"/>
        <w:spacing w:after="120" w:before="360" w:lineRule="auto"/>
        <w:rPr>
          <w:rFonts w:ascii="Poppins" w:cs="Poppins" w:eastAsia="Poppins" w:hAnsi="Poppins"/>
          <w:color w:val="2f6b3a"/>
        </w:rPr>
      </w:pPr>
      <w:r w:rsidDel="00000000" w:rsidR="00000000" w:rsidRPr="00000000">
        <w:rPr>
          <w:rFonts w:ascii="Poppins" w:cs="Poppins" w:eastAsia="Poppins" w:hAnsi="Poppins"/>
          <w:color w:val="2f6b3a"/>
          <w:rtl w:val="0"/>
        </w:rPr>
        <w:t xml:space="preserve">6. Conclusion : l’argument en faveur des Parlements ruraux des jeunes</w:t>
      </w:r>
    </w:p>
    <w:p w:rsidR="00000000" w:rsidDel="00000000" w:rsidP="00000000" w:rsidRDefault="00000000" w:rsidRPr="00000000" w14:paraId="00000171">
      <w:pPr>
        <w:spacing w:after="100" w:before="60" w:lineRule="auto"/>
        <w:jc w:val="both"/>
        <w:rPr>
          <w:rFonts w:ascii="Poppins" w:cs="Poppins" w:eastAsia="Poppins" w:hAnsi="Poppins"/>
          <w:color w:val="1a1a1a"/>
        </w:rPr>
      </w:pPr>
      <w:r w:rsidDel="00000000" w:rsidR="00000000" w:rsidRPr="00000000">
        <w:rPr>
          <w:rFonts w:ascii="Poppins" w:cs="Poppins" w:eastAsia="Poppins" w:hAnsi="Poppins"/>
          <w:color w:val="1a1a1a"/>
          <w:rtl w:val="0"/>
        </w:rPr>
        <w:t xml:space="preserve">La recherche documentée dans ce Rapport de synthèse raconte une histoire cohérente et convaincante à travers sept pays et deux continents. Les jeunes ruraux sont capables, motivés et disposés à contribuer à la gouvernance de leurs communautés. L’engagement des jeunes à travers le Kgotla au Botswana, l’andrimasompokonolona, système de veille communautaire à Madagascar, les associations de classes d’âge et les jeunes défenseurs de Follow the Money au Nigeria, le réseau YUVA à Maurice, les sessions du Parlement rural des jeunes en Roumanie, les Groupes de soutien locaux YEPP en Italie et les Conseils municipaux des jeunes en Grèce témoignent tous de la même vérité fondamentale : lorsque les conditions sont réunies, les jeunes ruraux participent, innovent et dirigent.</w:t>
      </w:r>
    </w:p>
    <w:p w:rsidR="00000000" w:rsidDel="00000000" w:rsidP="00000000" w:rsidRDefault="00000000" w:rsidRPr="00000000" w14:paraId="00000172">
      <w:pPr>
        <w:spacing w:after="100" w:before="60" w:lineRule="auto"/>
        <w:jc w:val="both"/>
        <w:rPr>
          <w:rFonts w:ascii="Poppins" w:cs="Poppins" w:eastAsia="Poppins" w:hAnsi="Poppins"/>
          <w:color w:val="1a1a1a"/>
        </w:rPr>
      </w:pPr>
      <w:r w:rsidDel="00000000" w:rsidR="00000000" w:rsidRPr="00000000">
        <w:rPr>
          <w:rFonts w:ascii="Poppins" w:cs="Poppins" w:eastAsia="Poppins" w:hAnsi="Poppins"/>
          <w:color w:val="1a1a1a"/>
          <w:rtl w:val="0"/>
        </w:rPr>
        <w:t xml:space="preserve">Le problème documenté dans ce rapport n’est pas un déficit de capacité, de motivation ou d’énergie civique des jeunes. Il s’agit d’un déficit de conditions institutionnelles, et les données indiquent que ce déficit est structurel, systémique et persistant à travers des contextes nationaux et des niveaux de développement très différents. Les jeunes ruraux font face à des paysages de participation où les droits formels existent sur le papier, mais où l’accès pratique est sévèrement limité ; où la consultation est fréquente, mais l’influence rare ; et où les obstacles structurels de l’isolement géographique, des difficultés économiques, de la marginalisation culturelle et de l’absence de mécanismes de redevabilité se combinent pour garantir que les voix des jeunes soient entendues sans avoir de conséquences.</w:t>
      </w:r>
    </w:p>
    <w:p w:rsidR="00000000" w:rsidDel="00000000" w:rsidP="00000000" w:rsidRDefault="00000000" w:rsidRPr="00000000" w14:paraId="00000173">
      <w:pPr>
        <w:spacing w:after="100" w:before="60" w:lineRule="auto"/>
        <w:jc w:val="both"/>
        <w:rPr>
          <w:rFonts w:ascii="Poppins" w:cs="Poppins" w:eastAsia="Poppins" w:hAnsi="Poppins"/>
          <w:color w:val="1a1a1a"/>
        </w:rPr>
      </w:pPr>
      <w:r w:rsidDel="00000000" w:rsidR="00000000" w:rsidRPr="00000000">
        <w:rPr>
          <w:rFonts w:ascii="Poppins" w:cs="Poppins" w:eastAsia="Poppins" w:hAnsi="Poppins"/>
          <w:color w:val="1a1a1a"/>
          <w:rtl w:val="0"/>
        </w:rPr>
        <w:t xml:space="preserve">Le projet EMPOWER+ répond à ce déficit par une intervention spécifique, fondée sur des données probantes et soigneusement conçue : des Parlements ruraux des jeunes ancrés au niveau de la gouvernance locale, soutenus par une reconnaissance institutionnelle et un financement dédié, conçus dès le départ pour l’accessibilité rurale, culturellement enracinés dans la légitimité communautaire existante et orientés structurellement vers la codécision plutôt que vers la simple consultation. La Roumanie a testé le modèle. Le Nigeria a pratiqué la simulation parlementaire à travers le Gombe State Youth Parliament. Maurice a construit une infrastructure nationale biennale de parlement des jeunes. Le Botswana maintient le Kgotla comme tradition vivante de délibération communautaire. Madagascar présente le besoin le plus urgent et le mandat le plus unanime pour le changement.</w:t>
      </w:r>
    </w:p>
    <w:p w:rsidR="00000000" w:rsidDel="00000000" w:rsidP="00000000" w:rsidRDefault="00000000" w:rsidRPr="00000000" w14:paraId="00000174">
      <w:pPr>
        <w:spacing w:after="100" w:before="60" w:lineRule="auto"/>
        <w:jc w:val="both"/>
        <w:rPr>
          <w:rFonts w:ascii="Poppins" w:cs="Poppins" w:eastAsia="Poppins" w:hAnsi="Poppins"/>
          <w:color w:val="1a1a1a"/>
        </w:rPr>
      </w:pPr>
      <w:r w:rsidDel="00000000" w:rsidR="00000000" w:rsidRPr="00000000">
        <w:rPr>
          <w:rFonts w:ascii="Poppins" w:cs="Poppins" w:eastAsia="Poppins" w:hAnsi="Poppins"/>
          <w:color w:val="1a1a1a"/>
          <w:rtl w:val="0"/>
        </w:rPr>
        <w:t xml:space="preserve">Les conclusions de ce rapport établissent le fondement analytique des prochaines phases du projet : le développement de la plateforme EMPOWER+ (D2.2) ; la conception et le pilotage de modèles de Parlement rural des jeunes au Botswana, à Madagascar, à Maurice et au Nigeria dans le Work Package 3 ; les activités de formation et de renforcement des capacités pour les travailleurs de jeunesse et les facilitateurs ; ainsi que le travail de plaidoyer politique nécessaire pour garantir que les RYPs obtiennent la reconnaissance institutionnelle et le financement durable dont dépend leur impact à long terme.</w:t>
      </w:r>
    </w:p>
    <w:p w:rsidR="00000000" w:rsidDel="00000000" w:rsidP="00000000" w:rsidRDefault="00000000" w:rsidRPr="00000000" w14:paraId="00000175">
      <w:pPr>
        <w:spacing w:after="100" w:before="60" w:lineRule="auto"/>
        <w:jc w:val="both"/>
        <w:rPr>
          <w:rFonts w:ascii="Poppins" w:cs="Poppins" w:eastAsia="Poppins" w:hAnsi="Poppins"/>
          <w:color w:val="1a1a1a"/>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-87888</wp:posOffset>
                </wp:positionH>
                <wp:positionV relativeFrom="paragraph">
                  <wp:posOffset>154682</wp:posOffset>
                </wp:positionV>
                <wp:extent cx="6001616" cy="1554307"/>
                <wp:effectExtent b="0" l="0" r="0" t="0"/>
                <wp:wrapNone/>
                <wp:docPr id="1" name=""/>
                <a:graphic>
                  <a:graphicData uri="http://schemas.microsoft.com/office/word/2010/wordprocessingShape">
                    <wps:wsp>
                      <wps:cNvSpPr/>
                      <wps:cNvPr id="2" name="Shape 2"/>
                      <wps:spPr>
                        <a:xfrm>
                          <a:off x="2349955" y="3007609"/>
                          <a:ext cx="5992091" cy="1544782"/>
                        </a:xfrm>
                        <a:prstGeom prst="rect">
                          <a:avLst/>
                        </a:prstGeom>
                        <a:noFill/>
                        <a:ln cap="flat" cmpd="sng" w="9525">
                          <a:solidFill>
                            <a:schemeClr val="accent3"/>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-87888</wp:posOffset>
                </wp:positionH>
                <wp:positionV relativeFrom="paragraph">
                  <wp:posOffset>154682</wp:posOffset>
                </wp:positionV>
                <wp:extent cx="6001616" cy="1554307"/>
                <wp:effectExtent b="0" l="0" r="0" t="0"/>
                <wp:wrapNone/>
                <wp:docPr id="1" name="image5.png"/>
                <a:graphic>
                  <a:graphicData uri="http://schemas.openxmlformats.org/drawingml/2006/picture">
                    <pic:pic>
                      <pic:nvPicPr>
                        <pic:cNvPr id="0" name="image5.png"/>
                        <pic:cNvPicPr preferRelativeResize="0"/>
                      </pic:nvPicPr>
                      <pic:blipFill>
                        <a:blip r:embed="rId11"/>
                        <a:srcRect/>
                        <a:stretch>
                          <a:fillRect/>
                        </a:stretch>
                      </pic:blipFill>
                      <pic:spPr>
                        <a:xfrm>
                          <a:off x="0" y="0"/>
                          <a:ext cx="6001616" cy="1554307"/>
                        </a:xfrm>
                        <a:prstGeom prst="rect"/>
                        <a:ln/>
                      </pic:spPr>
                    </pic:pic>
                  </a:graphicData>
                </a:graphic>
              </wp:anchor>
            </w:drawing>
          </mc:Fallback>
        </mc:AlternateContent>
      </w:r>
    </w:p>
    <w:p w:rsidR="00000000" w:rsidDel="00000000" w:rsidP="00000000" w:rsidRDefault="00000000" w:rsidRPr="00000000" w14:paraId="00000176">
      <w:pPr>
        <w:spacing w:after="100" w:before="60" w:lineRule="auto"/>
        <w:jc w:val="both"/>
        <w:rPr>
          <w:rFonts w:ascii="Poppins" w:cs="Poppins" w:eastAsia="Poppins" w:hAnsi="Poppins"/>
          <w:color w:val="1a1a1a"/>
        </w:rPr>
      </w:pPr>
      <w:r w:rsidDel="00000000" w:rsidR="00000000" w:rsidRPr="00000000">
        <w:rPr>
          <w:rFonts w:ascii="Poppins" w:cs="Poppins" w:eastAsia="Poppins" w:hAnsi="Poppins"/>
          <w:b w:val="1"/>
          <w:bCs w:val="1"/>
          <w:i w:val="1"/>
          <w:iCs w:val="1"/>
          <w:color w:val="1a1a1a"/>
          <w:rtl w:val="0"/>
        </w:rPr>
        <w:t xml:space="preserve">L’argument fondamental : </w:t>
      </w:r>
      <w:r w:rsidDel="00000000" w:rsidR="00000000" w:rsidRPr="00000000">
        <w:rPr>
          <w:rFonts w:ascii="Poppins" w:cs="Poppins" w:eastAsia="Poppins" w:hAnsi="Poppins"/>
          <w:color w:val="1a1a1a"/>
          <w:rtl w:val="0"/>
        </w:rPr>
        <w:t xml:space="preserve">les jeunes ruraux d’Afrique subsaharienne et d’Europe rurale ne sont pas les bénéficiaires passifs du développement. Ils sont des acteurs de la gouvernance, dont la participation améliore les décisions, dont l’énergie rend les communautés plus résilientes et dont l’inclusion rend les démocraties plus légitimes. Les Parlements ruraux des jeunes ne sont pas un luxe ni un ajout à l’agenda du développement. Ils constituent un investissement dans la qualité même de la gouvernance, et EMPOWER+ existe pour faire en sorte que cet investissement se réalise, à grande échelle, durablement et avec la rigueur que mérite cette génération de jeunes ruraux.</w:t>
      </w:r>
    </w:p>
    <w:p w:rsidR="00000000" w:rsidDel="00000000" w:rsidP="00000000" w:rsidRDefault="00000000" w:rsidRPr="00000000" w14:paraId="00000177">
      <w:pPr>
        <w:spacing w:after="100" w:before="60" w:lineRule="auto"/>
        <w:jc w:val="both"/>
        <w:rPr>
          <w:rFonts w:ascii="Poppins" w:cs="Poppins" w:eastAsia="Poppins" w:hAnsi="Poppins"/>
        </w:rPr>
      </w:pPr>
      <w:r w:rsidDel="00000000" w:rsidR="00000000" w:rsidRPr="00000000">
        <w:rPr>
          <w:rtl w:val="0"/>
        </w:rPr>
      </w:r>
    </w:p>
    <w:p w:rsidR="00000000" w:rsidDel="00000000" w:rsidP="00000000" w:rsidRDefault="00000000" w:rsidRPr="00000000" w14:paraId="00000178">
      <w:pPr>
        <w:pStyle w:val="Heading1"/>
        <w:keepNext w:val="1"/>
        <w:spacing w:after="120" w:before="360" w:lineRule="auto"/>
        <w:rPr>
          <w:rFonts w:ascii="Poppins" w:cs="Poppins" w:eastAsia="Poppins" w:hAnsi="Poppins"/>
          <w:color w:val="2f6b3a"/>
        </w:rPr>
      </w:pPr>
      <w:r w:rsidDel="00000000" w:rsidR="00000000" w:rsidRPr="00000000">
        <w:rPr>
          <w:rFonts w:ascii="Poppins" w:cs="Poppins" w:eastAsia="Poppins" w:hAnsi="Poppins"/>
          <w:color w:val="2f6b3a"/>
          <w:rtl w:val="0"/>
        </w:rPr>
        <w:t xml:space="preserve">Annexe A : Profils synthétiques des pays</w:t>
      </w:r>
    </w:p>
    <w:p w:rsidR="00000000" w:rsidDel="00000000" w:rsidP="00000000" w:rsidRDefault="00000000" w:rsidRPr="00000000" w14:paraId="00000179">
      <w:pPr>
        <w:spacing w:after="100" w:before="60" w:lineRule="auto"/>
        <w:jc w:val="both"/>
        <w:rPr>
          <w:rFonts w:ascii="Poppins" w:cs="Poppins" w:eastAsia="Poppins" w:hAnsi="Poppins"/>
        </w:rPr>
      </w:pPr>
      <w:r w:rsidDel="00000000" w:rsidR="00000000" w:rsidRPr="00000000">
        <w:rPr>
          <w:rFonts w:ascii="Poppins" w:cs="Poppins" w:eastAsia="Poppins" w:hAnsi="Poppins"/>
          <w:color w:val="1a1a1a"/>
          <w:rtl w:val="0"/>
        </w:rPr>
        <w:t xml:space="preserve">Les profils suivants consolident les principales conclusions pour chacun des sept pays partenaires à travers les résultats des Tâches 2.1 et 2.2. Ils sont conçus pour une consultation rapide et pour les publics ayant besoin d’informations spécifiques par pays sans lire l’ensemble du récit analytique.</w:t>
      </w:r>
      <w:r w:rsidDel="00000000" w:rsidR="00000000" w:rsidRPr="00000000">
        <w:rPr>
          <w:rtl w:val="0"/>
        </w:rPr>
      </w:r>
    </w:p>
    <w:p w:rsidR="00000000" w:rsidDel="00000000" w:rsidP="00000000" w:rsidRDefault="00000000" w:rsidRPr="00000000" w14:paraId="0000017A">
      <w:pPr>
        <w:pStyle w:val="Heading2"/>
        <w:keepNext w:val="1"/>
        <w:spacing w:after="80" w:before="280" w:lineRule="auto"/>
        <w:rPr>
          <w:rFonts w:ascii="Poppins" w:cs="Poppins" w:eastAsia="Poppins" w:hAnsi="Poppins"/>
          <w:color w:val="b7c3a1"/>
        </w:rPr>
      </w:pPr>
      <w:r w:rsidDel="00000000" w:rsidR="00000000" w:rsidRPr="00000000">
        <w:rPr>
          <w:rFonts w:ascii="Poppins" w:cs="Poppins" w:eastAsia="Poppins" w:hAnsi="Poppins"/>
          <w:color w:val="b7c3a1"/>
          <w:rtl w:val="0"/>
        </w:rPr>
        <w:t xml:space="preserve">Botswana</w:t>
      </w:r>
    </w:p>
    <w:p w:rsidR="00000000" w:rsidDel="00000000" w:rsidP="00000000" w:rsidRDefault="00000000" w:rsidRPr="00000000" w14:paraId="0000017B">
      <w:pPr>
        <w:spacing w:after="40" w:before="40" w:lineRule="auto"/>
        <w:rPr>
          <w:rFonts w:ascii="Poppins" w:cs="Poppins" w:eastAsia="Poppins" w:hAnsi="Poppins"/>
          <w:color w:val="000000"/>
        </w:rPr>
      </w:pPr>
      <w:r w:rsidDel="00000000" w:rsidR="00000000" w:rsidRPr="00000000">
        <w:rPr>
          <w:rFonts w:ascii="Poppins" w:cs="Poppins" w:eastAsia="Poppins" w:hAnsi="Poppins"/>
          <w:b w:val="1"/>
          <w:bCs w:val="1"/>
          <w:color w:val="000000"/>
          <w:rtl w:val="0"/>
        </w:rPr>
        <w:t xml:space="preserve">Région : </w:t>
      </w:r>
      <w:r w:rsidDel="00000000" w:rsidR="00000000" w:rsidRPr="00000000">
        <w:rPr>
          <w:rFonts w:ascii="Poppins" w:cs="Poppins" w:eastAsia="Poppins" w:hAnsi="Poppins"/>
          <w:color w:val="000000"/>
          <w:rtl w:val="0"/>
        </w:rPr>
        <w:t xml:space="preserve">Afrique subsaharienne</w:t>
      </w:r>
    </w:p>
    <w:p w:rsidR="00000000" w:rsidDel="00000000" w:rsidP="00000000" w:rsidRDefault="00000000" w:rsidRPr="00000000" w14:paraId="0000017C">
      <w:pPr>
        <w:spacing w:after="40" w:before="40" w:lineRule="auto"/>
        <w:jc w:val="both"/>
        <w:rPr>
          <w:rFonts w:ascii="Poppins" w:cs="Poppins" w:eastAsia="Poppins" w:hAnsi="Poppins"/>
          <w:color w:val="000000"/>
        </w:rPr>
      </w:pPr>
      <w:r w:rsidDel="00000000" w:rsidR="00000000" w:rsidRPr="00000000">
        <w:rPr>
          <w:rFonts w:ascii="Poppins" w:cs="Poppins" w:eastAsia="Poppins" w:hAnsi="Poppins"/>
          <w:b w:val="1"/>
          <w:bCs w:val="1"/>
          <w:color w:val="000000"/>
          <w:rtl w:val="0"/>
        </w:rPr>
        <w:t xml:space="preserve">Organisation(s) chef(s) de file : </w:t>
      </w:r>
      <w:r w:rsidDel="00000000" w:rsidR="00000000" w:rsidRPr="00000000">
        <w:rPr>
          <w:rFonts w:ascii="Poppins" w:cs="Poppins" w:eastAsia="Poppins" w:hAnsi="Poppins"/>
          <w:color w:val="000000"/>
          <w:rtl w:val="0"/>
        </w:rPr>
        <w:t xml:space="preserve">Joint Minds Consult (JMC) et Tlokweng District Council (TIDC)</w:t>
      </w:r>
    </w:p>
    <w:p w:rsidR="00000000" w:rsidDel="00000000" w:rsidP="00000000" w:rsidRDefault="00000000" w:rsidRPr="00000000" w14:paraId="0000017D">
      <w:pPr>
        <w:spacing w:after="40" w:before="40" w:lineRule="auto"/>
        <w:jc w:val="both"/>
        <w:rPr>
          <w:rFonts w:ascii="Poppins" w:cs="Poppins" w:eastAsia="Poppins" w:hAnsi="Poppins"/>
          <w:color w:val="000000"/>
        </w:rPr>
      </w:pPr>
      <w:r w:rsidDel="00000000" w:rsidR="00000000" w:rsidRPr="00000000">
        <w:rPr>
          <w:rFonts w:ascii="Poppins" w:cs="Poppins" w:eastAsia="Poppins" w:hAnsi="Poppins"/>
          <w:color w:val="000000"/>
          <w:rtl w:val="0"/>
        </w:rPr>
        <w:t xml:space="preserve">Cadre politique : Politique nationale révisée de la jeunesse (2010) ; Charte africaine de la jeunesse</w:t>
      </w:r>
    </w:p>
    <w:p w:rsidR="00000000" w:rsidDel="00000000" w:rsidP="00000000" w:rsidRDefault="00000000" w:rsidRPr="00000000" w14:paraId="0000017E">
      <w:pPr>
        <w:spacing w:after="40" w:before="40" w:lineRule="auto"/>
        <w:jc w:val="both"/>
        <w:rPr>
          <w:rFonts w:ascii="Poppins" w:cs="Poppins" w:eastAsia="Poppins" w:hAnsi="Poppins"/>
          <w:color w:val="000000"/>
        </w:rPr>
      </w:pPr>
      <w:r w:rsidDel="00000000" w:rsidR="00000000" w:rsidRPr="00000000">
        <w:rPr>
          <w:rFonts w:ascii="Poppins" w:cs="Poppins" w:eastAsia="Poppins" w:hAnsi="Poppins"/>
          <w:color w:val="000000"/>
          <w:rtl w:val="0"/>
        </w:rPr>
        <w:t xml:space="preserve">Forces clés : Système Kgotla culturellement légitime ; Fonds de développement de la jeunesse actif ; société civile dynamique, notamment Youth Unlimited ; deux groupes de discussion multi-acteurs structurés fournissant des données primaires solides.</w:t>
      </w:r>
    </w:p>
    <w:p w:rsidR="00000000" w:rsidDel="00000000" w:rsidP="00000000" w:rsidRDefault="00000000" w:rsidRPr="00000000" w14:paraId="0000017F">
      <w:pPr>
        <w:spacing w:after="40" w:before="40" w:lineRule="auto"/>
        <w:jc w:val="both"/>
        <w:rPr>
          <w:rFonts w:ascii="Poppins" w:cs="Poppins" w:eastAsia="Poppins" w:hAnsi="Poppins"/>
          <w:color w:val="000000"/>
        </w:rPr>
      </w:pPr>
      <w:r w:rsidDel="00000000" w:rsidR="00000000" w:rsidRPr="00000000">
        <w:rPr>
          <w:rFonts w:ascii="Poppins" w:cs="Poppins" w:eastAsia="Poppins" w:hAnsi="Poppins"/>
          <w:b w:val="1"/>
          <w:bCs w:val="1"/>
          <w:color w:val="000000"/>
          <w:rtl w:val="0"/>
        </w:rPr>
        <w:t xml:space="preserve">Lacunes clés :</w:t>
      </w:r>
      <w:r w:rsidDel="00000000" w:rsidR="00000000" w:rsidRPr="00000000">
        <w:rPr>
          <w:rFonts w:ascii="Poppins" w:cs="Poppins" w:eastAsia="Poppins" w:hAnsi="Poppins"/>
          <w:color w:val="000000"/>
          <w:rtl w:val="0"/>
        </w:rPr>
        <w:t xml:space="preserve"> Participation unidirectionnelle sans redevabilité par retour d’information ; norme culturelle « trop jeune pour diriger » ; inégalité numérique dans les zones rurales ; obstacles de calendrier entrant en conflit avec les moyens de subsistance.</w:t>
      </w:r>
    </w:p>
    <w:p w:rsidR="00000000" w:rsidDel="00000000" w:rsidP="00000000" w:rsidRDefault="00000000" w:rsidRPr="00000000" w14:paraId="00000180">
      <w:pPr>
        <w:spacing w:after="40" w:before="40" w:lineRule="auto"/>
        <w:jc w:val="both"/>
        <w:rPr>
          <w:rFonts w:ascii="Poppins" w:cs="Poppins" w:eastAsia="Poppins" w:hAnsi="Poppins"/>
          <w:color w:val="000000"/>
        </w:rPr>
      </w:pPr>
      <w:r w:rsidDel="00000000" w:rsidR="00000000" w:rsidRPr="00000000">
        <w:rPr>
          <w:rFonts w:ascii="Poppins" w:cs="Poppins" w:eastAsia="Poppins" w:hAnsi="Poppins"/>
          <w:b w:val="1"/>
          <w:bCs w:val="1"/>
          <w:color w:val="000000"/>
          <w:rtl w:val="0"/>
        </w:rPr>
        <w:t xml:space="preserve">Bonnes pratiques : </w:t>
      </w:r>
      <w:r w:rsidDel="00000000" w:rsidR="00000000" w:rsidRPr="00000000">
        <w:rPr>
          <w:rFonts w:ascii="Poppins" w:cs="Poppins" w:eastAsia="Poppins" w:hAnsi="Poppins"/>
          <w:color w:val="000000"/>
          <w:rtl w:val="0"/>
        </w:rPr>
        <w:t xml:space="preserve">Kgotla comme espace de délibération ; modèle national de simulation du Parlement des jeunes ; formation à la littératie participative par la société civile.</w:t>
      </w:r>
    </w:p>
    <w:p w:rsidR="00000000" w:rsidDel="00000000" w:rsidP="00000000" w:rsidRDefault="00000000" w:rsidRPr="00000000" w14:paraId="00000181">
      <w:pPr>
        <w:spacing w:after="40" w:before="40" w:lineRule="auto"/>
        <w:jc w:val="both"/>
        <w:rPr>
          <w:rFonts w:ascii="Poppins" w:cs="Poppins" w:eastAsia="Poppins" w:hAnsi="Poppins"/>
          <w:color w:val="000000"/>
        </w:rPr>
      </w:pPr>
      <w:r w:rsidDel="00000000" w:rsidR="00000000" w:rsidRPr="00000000">
        <w:rPr>
          <w:rFonts w:ascii="Poppins" w:cs="Poppins" w:eastAsia="Poppins" w:hAnsi="Poppins"/>
          <w:b w:val="1"/>
          <w:bCs w:val="1"/>
          <w:color w:val="000000"/>
          <w:rtl w:val="0"/>
        </w:rPr>
        <w:t xml:space="preserve">Méthodologie de la Tâche 2.2 </w:t>
      </w:r>
      <w:r w:rsidDel="00000000" w:rsidR="00000000" w:rsidRPr="00000000">
        <w:rPr>
          <w:rFonts w:ascii="Poppins" w:cs="Poppins" w:eastAsia="Poppins" w:hAnsi="Poppins"/>
          <w:color w:val="000000"/>
          <w:rtl w:val="0"/>
        </w:rPr>
        <w:t xml:space="preserve">: Deux groupes de discussion multi-acteurs à Mogobane et Tlokweng, avec des données détaillées sur l’accessibilité, la pertinence et l’efficacité des outils.</w:t>
      </w:r>
    </w:p>
    <w:p w:rsidR="00000000" w:rsidDel="00000000" w:rsidP="00000000" w:rsidRDefault="00000000" w:rsidRPr="00000000" w14:paraId="00000182">
      <w:pPr>
        <w:pStyle w:val="Heading2"/>
        <w:keepNext w:val="1"/>
        <w:spacing w:after="80" w:before="280" w:lineRule="auto"/>
        <w:rPr>
          <w:rFonts w:ascii="Poppins" w:cs="Poppins" w:eastAsia="Poppins" w:hAnsi="Poppins"/>
          <w:color w:val="b7c3a1"/>
        </w:rPr>
      </w:pPr>
      <w:bookmarkStart w:colFirst="0" w:colLast="0" w:name="_heading=h.roeiihqif9vr" w:id="37"/>
      <w:bookmarkEnd w:id="37"/>
      <w:r w:rsidDel="00000000" w:rsidR="00000000" w:rsidRPr="00000000">
        <w:rPr>
          <w:rFonts w:ascii="Poppins" w:cs="Poppins" w:eastAsia="Poppins" w:hAnsi="Poppins"/>
          <w:color w:val="b7c3a1"/>
          <w:rtl w:val="0"/>
        </w:rPr>
        <w:t xml:space="preserve">Madagascar</w:t>
      </w:r>
    </w:p>
    <w:p w:rsidR="00000000" w:rsidDel="00000000" w:rsidP="00000000" w:rsidRDefault="00000000" w:rsidRPr="00000000" w14:paraId="00000183">
      <w:pPr>
        <w:spacing w:after="40" w:before="40" w:lineRule="auto"/>
        <w:rPr>
          <w:rFonts w:ascii="Poppins" w:cs="Poppins" w:eastAsia="Poppins" w:hAnsi="Poppins"/>
          <w:b w:val="1"/>
          <w:bCs w:val="1"/>
        </w:rPr>
      </w:pPr>
      <w:r w:rsidDel="00000000" w:rsidR="00000000" w:rsidRPr="00000000">
        <w:rPr>
          <w:rFonts w:ascii="Poppins" w:cs="Poppins" w:eastAsia="Poppins" w:hAnsi="Poppins"/>
          <w:b w:val="1"/>
          <w:bCs w:val="1"/>
          <w:rtl w:val="0"/>
        </w:rPr>
        <w:t xml:space="preserve">Région :</w:t>
      </w:r>
      <w:r w:rsidDel="00000000" w:rsidR="00000000" w:rsidRPr="00000000">
        <w:rPr>
          <w:rFonts w:ascii="Poppins" w:cs="Poppins" w:eastAsia="Poppins" w:hAnsi="Poppins"/>
          <w:rtl w:val="0"/>
        </w:rPr>
        <w:t xml:space="preserve"> Afrique subsaharienne</w:t>
      </w:r>
      <w:r w:rsidDel="00000000" w:rsidR="00000000" w:rsidRPr="00000000">
        <w:rPr>
          <w:rtl w:val="0"/>
        </w:rPr>
      </w:r>
    </w:p>
    <w:p w:rsidR="00000000" w:rsidDel="00000000" w:rsidP="00000000" w:rsidRDefault="00000000" w:rsidRPr="00000000" w14:paraId="00000184">
      <w:pPr>
        <w:spacing w:after="40" w:before="40" w:lineRule="auto"/>
        <w:jc w:val="both"/>
        <w:rPr>
          <w:rFonts w:ascii="Poppins" w:cs="Poppins" w:eastAsia="Poppins" w:hAnsi="Poppins"/>
        </w:rPr>
      </w:pPr>
      <w:r w:rsidDel="00000000" w:rsidR="00000000" w:rsidRPr="00000000">
        <w:rPr>
          <w:rFonts w:ascii="Poppins" w:cs="Poppins" w:eastAsia="Poppins" w:hAnsi="Poppins"/>
          <w:b w:val="1"/>
          <w:bCs w:val="1"/>
          <w:rtl w:val="0"/>
        </w:rPr>
        <w:t xml:space="preserve">Organisation(s) chef(s) de file : </w:t>
      </w:r>
      <w:r w:rsidDel="00000000" w:rsidR="00000000" w:rsidRPr="00000000">
        <w:rPr>
          <w:rFonts w:ascii="Poppins" w:cs="Poppins" w:eastAsia="Poppins" w:hAnsi="Poppins"/>
          <w:rtl w:val="0"/>
        </w:rPr>
        <w:t xml:space="preserve">Centres d’Entraînement aux Méthodes d’Éducation Active de Madagascar (CEMEA)</w:t>
      </w:r>
    </w:p>
    <w:p w:rsidR="00000000" w:rsidDel="00000000" w:rsidP="00000000" w:rsidRDefault="00000000" w:rsidRPr="00000000" w14:paraId="00000185">
      <w:pPr>
        <w:spacing w:after="40" w:before="40" w:lineRule="auto"/>
        <w:jc w:val="both"/>
        <w:rPr>
          <w:rFonts w:ascii="Poppins" w:cs="Poppins" w:eastAsia="Poppins" w:hAnsi="Poppins"/>
        </w:rPr>
      </w:pPr>
      <w:r w:rsidDel="00000000" w:rsidR="00000000" w:rsidRPr="00000000">
        <w:rPr>
          <w:rFonts w:ascii="Poppins" w:cs="Poppins" w:eastAsia="Poppins" w:hAnsi="Poppins"/>
          <w:b w:val="1"/>
          <w:bCs w:val="1"/>
          <w:rtl w:val="0"/>
        </w:rPr>
        <w:t xml:space="preserve">Cadre politique : </w:t>
      </w:r>
      <w:r w:rsidDel="00000000" w:rsidR="00000000" w:rsidRPr="00000000">
        <w:rPr>
          <w:rFonts w:ascii="Poppins" w:cs="Poppins" w:eastAsia="Poppins" w:hAnsi="Poppins"/>
          <w:rtl w:val="0"/>
        </w:rPr>
        <w:t xml:space="preserve">Plan d’Émergence de Madagascar ; Plans communaux de développement ; mandat du Ministère de la Jeunesse et des Sports</w:t>
      </w:r>
    </w:p>
    <w:p w:rsidR="00000000" w:rsidDel="00000000" w:rsidP="00000000" w:rsidRDefault="00000000" w:rsidRPr="00000000" w14:paraId="00000186">
      <w:pPr>
        <w:spacing w:after="40" w:before="40" w:lineRule="auto"/>
        <w:jc w:val="both"/>
        <w:rPr>
          <w:rFonts w:ascii="Poppins" w:cs="Poppins" w:eastAsia="Poppins" w:hAnsi="Poppins"/>
        </w:rPr>
      </w:pPr>
      <w:r w:rsidDel="00000000" w:rsidR="00000000" w:rsidRPr="00000000">
        <w:rPr>
          <w:rFonts w:ascii="Poppins" w:cs="Poppins" w:eastAsia="Poppins" w:hAnsi="Poppins"/>
          <w:b w:val="1"/>
          <w:bCs w:val="1"/>
          <w:rtl w:val="0"/>
        </w:rPr>
        <w:t xml:space="preserve">Forces clés : </w:t>
      </w:r>
      <w:r w:rsidDel="00000000" w:rsidR="00000000" w:rsidRPr="00000000">
        <w:rPr>
          <w:rFonts w:ascii="Poppins" w:cs="Poppins" w:eastAsia="Poppins" w:hAnsi="Poppins"/>
          <w:rtl w:val="0"/>
        </w:rPr>
        <w:t xml:space="preserve">Énergie associative extraordinaire à la base ; rôle civique de l’andrimasompokonolona ; mouvements scouts dynamiques ; soutien unanime aux RYPs de la part des trente-quatre parties prenantes de la Tâche 2.1.</w:t>
      </w:r>
    </w:p>
    <w:p w:rsidR="00000000" w:rsidDel="00000000" w:rsidP="00000000" w:rsidRDefault="00000000" w:rsidRPr="00000000" w14:paraId="00000187">
      <w:pPr>
        <w:spacing w:after="40" w:before="40" w:lineRule="auto"/>
        <w:jc w:val="both"/>
        <w:rPr>
          <w:rFonts w:ascii="Poppins" w:cs="Poppins" w:eastAsia="Poppins" w:hAnsi="Poppins"/>
        </w:rPr>
      </w:pPr>
      <w:r w:rsidDel="00000000" w:rsidR="00000000" w:rsidRPr="00000000">
        <w:rPr>
          <w:rFonts w:ascii="Poppins" w:cs="Poppins" w:eastAsia="Poppins" w:hAnsi="Poppins"/>
          <w:b w:val="1"/>
          <w:bCs w:val="1"/>
          <w:rtl w:val="0"/>
        </w:rPr>
        <w:t xml:space="preserve">Lacunes clés : </w:t>
      </w:r>
      <w:r w:rsidDel="00000000" w:rsidR="00000000" w:rsidRPr="00000000">
        <w:rPr>
          <w:rFonts w:ascii="Poppins" w:cs="Poppins" w:eastAsia="Poppins" w:hAnsi="Poppins"/>
          <w:rtl w:val="0"/>
        </w:rPr>
        <w:t xml:space="preserve">Exclusion économique sévère créant des obstacles financiers directs ; profonds déséquilibres intergénérationnels de pouvoir ; déficits d’information ; très faible capacité institutionnelle de l’État dans les zones rurales ; participation formelle concentrée près de la capitale.</w:t>
      </w:r>
    </w:p>
    <w:p w:rsidR="00000000" w:rsidDel="00000000" w:rsidP="00000000" w:rsidRDefault="00000000" w:rsidRPr="00000000" w14:paraId="00000188">
      <w:pPr>
        <w:spacing w:after="40" w:before="40" w:lineRule="auto"/>
        <w:jc w:val="both"/>
        <w:rPr>
          <w:rFonts w:ascii="Poppins" w:cs="Poppins" w:eastAsia="Poppins" w:hAnsi="Poppins"/>
        </w:rPr>
      </w:pPr>
      <w:r w:rsidDel="00000000" w:rsidR="00000000" w:rsidRPr="00000000">
        <w:rPr>
          <w:rFonts w:ascii="Poppins" w:cs="Poppins" w:eastAsia="Poppins" w:hAnsi="Poppins"/>
          <w:b w:val="1"/>
          <w:bCs w:val="1"/>
          <w:rtl w:val="0"/>
        </w:rPr>
        <w:t xml:space="preserve">Bonnes pratiques : </w:t>
      </w:r>
      <w:r w:rsidDel="00000000" w:rsidR="00000000" w:rsidRPr="00000000">
        <w:rPr>
          <w:rFonts w:ascii="Poppins" w:cs="Poppins" w:eastAsia="Poppins" w:hAnsi="Poppins"/>
          <w:rtl w:val="0"/>
        </w:rPr>
        <w:t xml:space="preserve">Modèle andrimasompokonolona ; associations scoutes et civiques ; éducation civique aux droits en milieu scolaire.</w:t>
      </w:r>
    </w:p>
    <w:p w:rsidR="00000000" w:rsidDel="00000000" w:rsidP="00000000" w:rsidRDefault="00000000" w:rsidRPr="00000000" w14:paraId="00000189">
      <w:pPr>
        <w:spacing w:after="40" w:before="40" w:lineRule="auto"/>
        <w:jc w:val="both"/>
        <w:rPr>
          <w:rFonts w:ascii="Poppins" w:cs="Poppins" w:eastAsia="Poppins" w:hAnsi="Poppins"/>
        </w:rPr>
      </w:pPr>
      <w:r w:rsidDel="00000000" w:rsidR="00000000" w:rsidRPr="00000000">
        <w:rPr>
          <w:rFonts w:ascii="Poppins" w:cs="Poppins" w:eastAsia="Poppins" w:hAnsi="Poppins"/>
          <w:b w:val="1"/>
          <w:bCs w:val="1"/>
          <w:rtl w:val="0"/>
        </w:rPr>
        <w:t xml:space="preserve">Méthodologie de la Tâche 2.2 : </w:t>
      </w:r>
      <w:r w:rsidDel="00000000" w:rsidR="00000000" w:rsidRPr="00000000">
        <w:rPr>
          <w:rFonts w:ascii="Poppins" w:cs="Poppins" w:eastAsia="Poppins" w:hAnsi="Poppins"/>
          <w:rtl w:val="0"/>
        </w:rPr>
        <w:t xml:space="preserve">Groupes de discussion avec huit à douze participants par session, âgés de quinze à trente ans, dans des districts ruraux sélectionnés. Méthodologie interactive incluant le vote par points et des guides de discussion structurés. Cinq thèmes clés explorés : éducation et compétences, emploi, participation des jeunes, égalité de genre et besoins de développement communautaire.</w:t>
      </w:r>
    </w:p>
    <w:p w:rsidR="00000000" w:rsidDel="00000000" w:rsidP="00000000" w:rsidRDefault="00000000" w:rsidRPr="00000000" w14:paraId="0000018A">
      <w:pPr>
        <w:spacing w:after="40" w:before="40" w:lineRule="auto"/>
        <w:rPr>
          <w:rFonts w:ascii="Poppins" w:cs="Poppins" w:eastAsia="Poppins" w:hAnsi="Poppins"/>
        </w:rPr>
      </w:pPr>
      <w:r w:rsidDel="00000000" w:rsidR="00000000" w:rsidRPr="00000000">
        <w:rPr>
          <w:rtl w:val="0"/>
        </w:rPr>
      </w:r>
    </w:p>
    <w:p w:rsidR="00000000" w:rsidDel="00000000" w:rsidP="00000000" w:rsidRDefault="00000000" w:rsidRPr="00000000" w14:paraId="0000018B">
      <w:pPr>
        <w:pStyle w:val="Heading2"/>
        <w:keepNext w:val="1"/>
        <w:spacing w:after="80" w:before="280" w:lineRule="auto"/>
        <w:rPr>
          <w:rFonts w:ascii="Poppins" w:cs="Poppins" w:eastAsia="Poppins" w:hAnsi="Poppins"/>
          <w:color w:val="b7c3a1"/>
        </w:rPr>
      </w:pPr>
      <w:bookmarkStart w:colFirst="0" w:colLast="0" w:name="_heading=h.shxgttm9gc0j" w:id="38"/>
      <w:bookmarkEnd w:id="38"/>
      <w:r w:rsidDel="00000000" w:rsidR="00000000" w:rsidRPr="00000000">
        <w:rPr>
          <w:rFonts w:ascii="Poppins" w:cs="Poppins" w:eastAsia="Poppins" w:hAnsi="Poppins"/>
          <w:color w:val="b7c3a1"/>
          <w:rtl w:val="0"/>
        </w:rPr>
        <w:t xml:space="preserve">Maurice</w:t>
      </w:r>
    </w:p>
    <w:p w:rsidR="00000000" w:rsidDel="00000000" w:rsidP="00000000" w:rsidRDefault="00000000" w:rsidRPr="00000000" w14:paraId="0000018C">
      <w:pPr>
        <w:spacing w:after="40" w:before="40" w:lineRule="auto"/>
        <w:rPr>
          <w:rFonts w:ascii="Poppins" w:cs="Poppins" w:eastAsia="Poppins" w:hAnsi="Poppins"/>
        </w:rPr>
      </w:pPr>
      <w:r w:rsidDel="00000000" w:rsidR="00000000" w:rsidRPr="00000000">
        <w:rPr>
          <w:rFonts w:ascii="Poppins" w:cs="Poppins" w:eastAsia="Poppins" w:hAnsi="Poppins"/>
          <w:b w:val="1"/>
          <w:bCs w:val="1"/>
          <w:rtl w:val="0"/>
        </w:rPr>
        <w:t xml:space="preserve">Région :</w:t>
      </w:r>
      <w:r w:rsidDel="00000000" w:rsidR="00000000" w:rsidRPr="00000000">
        <w:rPr>
          <w:rFonts w:ascii="Poppins" w:cs="Poppins" w:eastAsia="Poppins" w:hAnsi="Poppins"/>
          <w:rtl w:val="0"/>
        </w:rPr>
        <w:t xml:space="preserve"> Afrique subsaharienne</w:t>
      </w:r>
    </w:p>
    <w:p w:rsidR="00000000" w:rsidDel="00000000" w:rsidP="00000000" w:rsidRDefault="00000000" w:rsidRPr="00000000" w14:paraId="0000018D">
      <w:pPr>
        <w:spacing w:after="40" w:before="40" w:lineRule="auto"/>
        <w:jc w:val="both"/>
        <w:rPr>
          <w:rFonts w:ascii="Poppins" w:cs="Poppins" w:eastAsia="Poppins" w:hAnsi="Poppins"/>
        </w:rPr>
      </w:pPr>
      <w:r w:rsidDel="00000000" w:rsidR="00000000" w:rsidRPr="00000000">
        <w:rPr>
          <w:rFonts w:ascii="Poppins" w:cs="Poppins" w:eastAsia="Poppins" w:hAnsi="Poppins"/>
          <w:b w:val="1"/>
          <w:bCs w:val="1"/>
          <w:rtl w:val="0"/>
        </w:rPr>
        <w:t xml:space="preserve">Organisation(s) chef(s) de file : </w:t>
      </w:r>
      <w:r w:rsidDel="00000000" w:rsidR="00000000" w:rsidRPr="00000000">
        <w:rPr>
          <w:rFonts w:ascii="Poppins" w:cs="Poppins" w:eastAsia="Poppins" w:hAnsi="Poppins"/>
          <w:rtl w:val="0"/>
        </w:rPr>
        <w:t xml:space="preserve">Fédération des Maisons Familiales Rurales de Maurice et Rodrigues (MFFR Maurice)</w:t>
      </w:r>
    </w:p>
    <w:p w:rsidR="00000000" w:rsidDel="00000000" w:rsidP="00000000" w:rsidRDefault="00000000" w:rsidRPr="00000000" w14:paraId="0000018E">
      <w:pPr>
        <w:spacing w:after="40" w:before="40" w:lineRule="auto"/>
        <w:jc w:val="both"/>
        <w:rPr>
          <w:rFonts w:ascii="Poppins" w:cs="Poppins" w:eastAsia="Poppins" w:hAnsi="Poppins"/>
        </w:rPr>
      </w:pPr>
      <w:r w:rsidDel="00000000" w:rsidR="00000000" w:rsidRPr="00000000">
        <w:rPr>
          <w:rFonts w:ascii="Poppins" w:cs="Poppins" w:eastAsia="Poppins" w:hAnsi="Poppins"/>
          <w:b w:val="1"/>
          <w:bCs w:val="1"/>
          <w:rtl w:val="0"/>
        </w:rPr>
        <w:t xml:space="preserve">Cadre politique : </w:t>
      </w:r>
      <w:r w:rsidDel="00000000" w:rsidR="00000000" w:rsidRPr="00000000">
        <w:rPr>
          <w:rFonts w:ascii="Poppins" w:cs="Poppins" w:eastAsia="Poppins" w:hAnsi="Poppins"/>
          <w:rtl w:val="0"/>
        </w:rPr>
        <w:t xml:space="preserve">National Youth Council Act (1998) ; Politique nationale de la jeunesse (2016) ; Programme national de développement de la jeunesse</w:t>
      </w:r>
    </w:p>
    <w:p w:rsidR="00000000" w:rsidDel="00000000" w:rsidP="00000000" w:rsidRDefault="00000000" w:rsidRPr="00000000" w14:paraId="0000018F">
      <w:pPr>
        <w:spacing w:after="40" w:before="40" w:lineRule="auto"/>
        <w:jc w:val="both"/>
        <w:rPr>
          <w:rFonts w:ascii="Poppins" w:cs="Poppins" w:eastAsia="Poppins" w:hAnsi="Poppins"/>
        </w:rPr>
      </w:pPr>
      <w:r w:rsidDel="00000000" w:rsidR="00000000" w:rsidRPr="00000000">
        <w:rPr>
          <w:rFonts w:ascii="Poppins" w:cs="Poppins" w:eastAsia="Poppins" w:hAnsi="Poppins"/>
          <w:b w:val="1"/>
          <w:bCs w:val="1"/>
          <w:rtl w:val="0"/>
        </w:rPr>
        <w:t xml:space="preserve">Forces clés : </w:t>
      </w:r>
      <w:r w:rsidDel="00000000" w:rsidR="00000000" w:rsidRPr="00000000">
        <w:rPr>
          <w:rFonts w:ascii="Poppins" w:cs="Poppins" w:eastAsia="Poppins" w:hAnsi="Poppins"/>
          <w:rtl w:val="0"/>
        </w:rPr>
        <w:t xml:space="preserve">Conseils régionaux de la jeunesse dans chaque district, y compris Rodrigues ; Centres de jeunesse dans les zones rurales ; ONG YUVA avec une programmation agile d’autonomisation rurale ; bonnes pratiques durables, notamment les Maisons Familiales Rurales et les Clubs de jeunes DIS-MOI.</w:t>
      </w:r>
    </w:p>
    <w:p w:rsidR="00000000" w:rsidDel="00000000" w:rsidP="00000000" w:rsidRDefault="00000000" w:rsidRPr="00000000" w14:paraId="00000190">
      <w:pPr>
        <w:spacing w:after="40" w:before="40" w:lineRule="auto"/>
        <w:jc w:val="both"/>
        <w:rPr>
          <w:rFonts w:ascii="Poppins" w:cs="Poppins" w:eastAsia="Poppins" w:hAnsi="Poppins"/>
        </w:rPr>
      </w:pPr>
      <w:r w:rsidDel="00000000" w:rsidR="00000000" w:rsidRPr="00000000">
        <w:rPr>
          <w:rFonts w:ascii="Poppins" w:cs="Poppins" w:eastAsia="Poppins" w:hAnsi="Poppins"/>
          <w:b w:val="1"/>
          <w:bCs w:val="1"/>
          <w:rtl w:val="0"/>
        </w:rPr>
        <w:t xml:space="preserve">Lacunes clés : </w:t>
      </w:r>
      <w:r w:rsidDel="00000000" w:rsidR="00000000" w:rsidRPr="00000000">
        <w:rPr>
          <w:rFonts w:ascii="Poppins" w:cs="Poppins" w:eastAsia="Poppins" w:hAnsi="Poppins"/>
          <w:rtl w:val="0"/>
        </w:rPr>
        <w:t xml:space="preserve">Dépendance à l’affiliation limitant l’accès des jeunes ruraux indépendants ; faible engagement agricole ; faible suivi des politiques ; fractures numériques et géographiques affectant particulièrement Rodrigues.</w:t>
      </w:r>
    </w:p>
    <w:p w:rsidR="00000000" w:rsidDel="00000000" w:rsidP="00000000" w:rsidRDefault="00000000" w:rsidRPr="00000000" w14:paraId="00000191">
      <w:pPr>
        <w:spacing w:after="40" w:before="40" w:lineRule="auto"/>
        <w:jc w:val="both"/>
        <w:rPr>
          <w:rFonts w:ascii="Poppins" w:cs="Poppins" w:eastAsia="Poppins" w:hAnsi="Poppins"/>
        </w:rPr>
      </w:pPr>
      <w:r w:rsidDel="00000000" w:rsidR="00000000" w:rsidRPr="00000000">
        <w:rPr>
          <w:rFonts w:ascii="Poppins" w:cs="Poppins" w:eastAsia="Poppins" w:hAnsi="Poppins"/>
          <w:b w:val="1"/>
          <w:bCs w:val="1"/>
          <w:rtl w:val="0"/>
        </w:rPr>
        <w:t xml:space="preserve">Bonnes pratiques : </w:t>
      </w:r>
      <w:r w:rsidDel="00000000" w:rsidR="00000000" w:rsidRPr="00000000">
        <w:rPr>
          <w:rFonts w:ascii="Poppins" w:cs="Poppins" w:eastAsia="Poppins" w:hAnsi="Poppins"/>
          <w:rtl w:val="0"/>
        </w:rPr>
        <w:t xml:space="preserve">YUVA Rural Youth Empowerment Project ; Maisons Familiales Rurales ; Clubs de jeunes DIS-MOI ; Mauritius Youth Parliament.</w:t>
      </w:r>
    </w:p>
    <w:p w:rsidR="00000000" w:rsidDel="00000000" w:rsidP="00000000" w:rsidRDefault="00000000" w:rsidRPr="00000000" w14:paraId="00000192">
      <w:pPr>
        <w:spacing w:after="40" w:before="40" w:lineRule="auto"/>
        <w:jc w:val="both"/>
        <w:rPr>
          <w:rFonts w:ascii="Poppins" w:cs="Poppins" w:eastAsia="Poppins" w:hAnsi="Poppins"/>
        </w:rPr>
      </w:pPr>
      <w:r w:rsidDel="00000000" w:rsidR="00000000" w:rsidRPr="00000000">
        <w:rPr>
          <w:rFonts w:ascii="Poppins" w:cs="Poppins" w:eastAsia="Poppins" w:hAnsi="Poppins"/>
          <w:b w:val="1"/>
          <w:bCs w:val="1"/>
          <w:rtl w:val="0"/>
        </w:rPr>
        <w:t xml:space="preserve">Méthodologie de la Tâche 2.2 : </w:t>
      </w:r>
      <w:r w:rsidDel="00000000" w:rsidR="00000000" w:rsidRPr="00000000">
        <w:rPr>
          <w:rFonts w:ascii="Poppins" w:cs="Poppins" w:eastAsia="Poppins" w:hAnsi="Poppins"/>
          <w:rtl w:val="0"/>
        </w:rPr>
        <w:t xml:space="preserve">Groupes de discussion avec vingt-cinq jeunes issus de districts urbains et ruraux ; fracture d’accès urbain-rural clairement documentée.</w:t>
      </w:r>
    </w:p>
    <w:p w:rsidR="00000000" w:rsidDel="00000000" w:rsidP="00000000" w:rsidRDefault="00000000" w:rsidRPr="00000000" w14:paraId="00000193">
      <w:pPr>
        <w:spacing w:after="40" w:before="40" w:lineRule="auto"/>
        <w:jc w:val="both"/>
        <w:rPr>
          <w:rFonts w:ascii="Poppins" w:cs="Poppins" w:eastAsia="Poppins" w:hAnsi="Poppins"/>
        </w:rPr>
      </w:pPr>
      <w:r w:rsidDel="00000000" w:rsidR="00000000" w:rsidRPr="00000000">
        <w:rPr>
          <w:rtl w:val="0"/>
        </w:rPr>
      </w:r>
    </w:p>
    <w:p w:rsidR="00000000" w:rsidDel="00000000" w:rsidP="00000000" w:rsidRDefault="00000000" w:rsidRPr="00000000" w14:paraId="00000194">
      <w:pPr>
        <w:pStyle w:val="Heading2"/>
        <w:keepNext w:val="1"/>
        <w:spacing w:after="80" w:before="280" w:lineRule="auto"/>
        <w:rPr>
          <w:rFonts w:ascii="Poppins" w:cs="Poppins" w:eastAsia="Poppins" w:hAnsi="Poppins"/>
          <w:color w:val="b7c3a1"/>
        </w:rPr>
      </w:pPr>
      <w:bookmarkStart w:colFirst="0" w:colLast="0" w:name="_heading=h.2b8oenfzntz6" w:id="39"/>
      <w:bookmarkEnd w:id="39"/>
      <w:r w:rsidDel="00000000" w:rsidR="00000000" w:rsidRPr="00000000">
        <w:rPr>
          <w:rFonts w:ascii="Poppins" w:cs="Poppins" w:eastAsia="Poppins" w:hAnsi="Poppins"/>
          <w:color w:val="b7c3a1"/>
          <w:rtl w:val="0"/>
        </w:rPr>
        <w:t xml:space="preserve">Nigeria</w:t>
      </w:r>
    </w:p>
    <w:p w:rsidR="00000000" w:rsidDel="00000000" w:rsidP="00000000" w:rsidRDefault="00000000" w:rsidRPr="00000000" w14:paraId="00000195">
      <w:pPr>
        <w:spacing w:after="40" w:before="40" w:lineRule="auto"/>
        <w:rPr>
          <w:rFonts w:ascii="Poppins" w:cs="Poppins" w:eastAsia="Poppins" w:hAnsi="Poppins"/>
          <w:color w:val="000000"/>
        </w:rPr>
      </w:pPr>
      <w:r w:rsidDel="00000000" w:rsidR="00000000" w:rsidRPr="00000000">
        <w:rPr>
          <w:rFonts w:ascii="Poppins" w:cs="Poppins" w:eastAsia="Poppins" w:hAnsi="Poppins"/>
          <w:b w:val="1"/>
          <w:bCs w:val="1"/>
          <w:color w:val="000000"/>
          <w:rtl w:val="0"/>
        </w:rPr>
        <w:t xml:space="preserve">Région : </w:t>
      </w:r>
      <w:r w:rsidDel="00000000" w:rsidR="00000000" w:rsidRPr="00000000">
        <w:rPr>
          <w:rFonts w:ascii="Poppins" w:cs="Poppins" w:eastAsia="Poppins" w:hAnsi="Poppins"/>
          <w:color w:val="000000"/>
          <w:rtl w:val="0"/>
        </w:rPr>
        <w:t xml:space="preserve">Afrique subsaharienne</w:t>
      </w:r>
    </w:p>
    <w:p w:rsidR="00000000" w:rsidDel="00000000" w:rsidP="00000000" w:rsidRDefault="00000000" w:rsidRPr="00000000" w14:paraId="00000196">
      <w:pPr>
        <w:spacing w:after="40" w:before="40" w:lineRule="auto"/>
        <w:jc w:val="both"/>
        <w:rPr>
          <w:rFonts w:ascii="Poppins" w:cs="Poppins" w:eastAsia="Poppins" w:hAnsi="Poppins"/>
          <w:b w:val="1"/>
          <w:bCs w:val="1"/>
          <w:color w:val="000000"/>
        </w:rPr>
      </w:pPr>
      <w:r w:rsidDel="00000000" w:rsidR="00000000" w:rsidRPr="00000000">
        <w:rPr>
          <w:rFonts w:ascii="Poppins" w:cs="Poppins" w:eastAsia="Poppins" w:hAnsi="Poppins"/>
          <w:b w:val="1"/>
          <w:bCs w:val="1"/>
          <w:color w:val="000000"/>
          <w:rtl w:val="0"/>
        </w:rPr>
        <w:t xml:space="preserve">Organisation(s) chef(s) de file : </w:t>
      </w:r>
      <w:r w:rsidDel="00000000" w:rsidR="00000000" w:rsidRPr="00000000">
        <w:rPr>
          <w:rFonts w:ascii="Poppins" w:cs="Poppins" w:eastAsia="Poppins" w:hAnsi="Poppins"/>
          <w:color w:val="000000"/>
          <w:rtl w:val="0"/>
        </w:rPr>
        <w:t xml:space="preserve">System Strategy and Policy Lab (SSPL)</w:t>
      </w:r>
      <w:r w:rsidDel="00000000" w:rsidR="00000000" w:rsidRPr="00000000">
        <w:rPr>
          <w:rtl w:val="0"/>
        </w:rPr>
      </w:r>
    </w:p>
    <w:p w:rsidR="00000000" w:rsidDel="00000000" w:rsidP="00000000" w:rsidRDefault="00000000" w:rsidRPr="00000000" w14:paraId="00000197">
      <w:pPr>
        <w:spacing w:after="40" w:before="40" w:lineRule="auto"/>
        <w:jc w:val="both"/>
        <w:rPr>
          <w:rFonts w:ascii="Poppins" w:cs="Poppins" w:eastAsia="Poppins" w:hAnsi="Poppins"/>
          <w:color w:val="000000"/>
        </w:rPr>
      </w:pPr>
      <w:r w:rsidDel="00000000" w:rsidR="00000000" w:rsidRPr="00000000">
        <w:rPr>
          <w:rFonts w:ascii="Poppins" w:cs="Poppins" w:eastAsia="Poppins" w:hAnsi="Poppins"/>
          <w:b w:val="1"/>
          <w:bCs w:val="1"/>
          <w:color w:val="000000"/>
          <w:rtl w:val="0"/>
        </w:rPr>
        <w:t xml:space="preserve">Cadre politique :</w:t>
      </w:r>
      <w:r w:rsidDel="00000000" w:rsidR="00000000" w:rsidRPr="00000000">
        <w:rPr>
          <w:rFonts w:ascii="Poppins" w:cs="Poppins" w:eastAsia="Poppins" w:hAnsi="Poppins"/>
          <w:color w:val="000000"/>
          <w:rtl w:val="0"/>
        </w:rPr>
        <w:t xml:space="preserve"> Constitution de 1999 ; Politique nationale de la jeunesse (2019) ; Not Too Young To Run Act (2018) ; Kogi State Youth Development Commission Law (2019)</w:t>
      </w:r>
    </w:p>
    <w:p w:rsidR="00000000" w:rsidDel="00000000" w:rsidP="00000000" w:rsidRDefault="00000000" w:rsidRPr="00000000" w14:paraId="00000198">
      <w:pPr>
        <w:spacing w:after="40" w:before="40" w:lineRule="auto"/>
        <w:jc w:val="both"/>
        <w:rPr>
          <w:rFonts w:ascii="Poppins" w:cs="Poppins" w:eastAsia="Poppins" w:hAnsi="Poppins"/>
          <w:b w:val="1"/>
          <w:bCs w:val="1"/>
          <w:color w:val="000000"/>
        </w:rPr>
      </w:pPr>
      <w:r w:rsidDel="00000000" w:rsidR="00000000" w:rsidRPr="00000000">
        <w:rPr>
          <w:rFonts w:ascii="Poppins" w:cs="Poppins" w:eastAsia="Poppins" w:hAnsi="Poppins"/>
          <w:b w:val="1"/>
          <w:bCs w:val="1"/>
          <w:color w:val="000000"/>
          <w:rtl w:val="0"/>
        </w:rPr>
        <w:t xml:space="preserve">Forces clés : </w:t>
      </w:r>
      <w:r w:rsidDel="00000000" w:rsidR="00000000" w:rsidRPr="00000000">
        <w:rPr>
          <w:rFonts w:ascii="Poppins" w:cs="Poppins" w:eastAsia="Poppins" w:hAnsi="Poppins"/>
          <w:color w:val="000000"/>
          <w:rtl w:val="0"/>
        </w:rPr>
        <w:t xml:space="preserve">Architecture formelle étendue ; société civile dynamique, notamment Follow the Money ; associations de classes d’âge comme mécanisme rural le plus accessible ; système traditionnel de leadership des jeunes Sarkin Samari.</w:t>
      </w:r>
      <w:r w:rsidDel="00000000" w:rsidR="00000000" w:rsidRPr="00000000">
        <w:rPr>
          <w:rtl w:val="0"/>
        </w:rPr>
      </w:r>
    </w:p>
    <w:p w:rsidR="00000000" w:rsidDel="00000000" w:rsidP="00000000" w:rsidRDefault="00000000" w:rsidRPr="00000000" w14:paraId="00000199">
      <w:pPr>
        <w:spacing w:after="40" w:before="40" w:lineRule="auto"/>
        <w:jc w:val="both"/>
        <w:rPr>
          <w:rFonts w:ascii="Poppins" w:cs="Poppins" w:eastAsia="Poppins" w:hAnsi="Poppins"/>
          <w:color w:val="000000"/>
        </w:rPr>
      </w:pPr>
      <w:r w:rsidDel="00000000" w:rsidR="00000000" w:rsidRPr="00000000">
        <w:rPr>
          <w:rFonts w:ascii="Poppins" w:cs="Poppins" w:eastAsia="Poppins" w:hAnsi="Poppins"/>
          <w:b w:val="1"/>
          <w:bCs w:val="1"/>
          <w:color w:val="000000"/>
          <w:rtl w:val="0"/>
        </w:rPr>
        <w:t xml:space="preserve">Lacunes clés : </w:t>
      </w:r>
      <w:r w:rsidDel="00000000" w:rsidR="00000000" w:rsidRPr="00000000">
        <w:rPr>
          <w:rFonts w:ascii="Poppins" w:cs="Poppins" w:eastAsia="Poppins" w:hAnsi="Poppins"/>
          <w:color w:val="000000"/>
          <w:rtl w:val="0"/>
        </w:rPr>
        <w:t xml:space="preserve">Sous-financement chronique inférieur à un pour cent des budgets des États ; structures formelles centrées sur les capitales ; filtrage fondé sur le patronage ; défaillances de gouvernance du NYCN affaiblissant la crédibilité de l’organe représentatif.</w:t>
      </w:r>
    </w:p>
    <w:p w:rsidR="00000000" w:rsidDel="00000000" w:rsidP="00000000" w:rsidRDefault="00000000" w:rsidRPr="00000000" w14:paraId="0000019A">
      <w:pPr>
        <w:spacing w:after="40" w:before="40" w:lineRule="auto"/>
        <w:jc w:val="both"/>
        <w:rPr>
          <w:rFonts w:ascii="Poppins" w:cs="Poppins" w:eastAsia="Poppins" w:hAnsi="Poppins"/>
          <w:b w:val="1"/>
          <w:bCs w:val="1"/>
          <w:color w:val="000000"/>
        </w:rPr>
      </w:pPr>
      <w:r w:rsidDel="00000000" w:rsidR="00000000" w:rsidRPr="00000000">
        <w:rPr>
          <w:rFonts w:ascii="Poppins" w:cs="Poppins" w:eastAsia="Poppins" w:hAnsi="Poppins"/>
          <w:b w:val="1"/>
          <w:bCs w:val="1"/>
          <w:color w:val="000000"/>
          <w:rtl w:val="0"/>
        </w:rPr>
        <w:t xml:space="preserve">Bonnes pratiques :</w:t>
      </w:r>
      <w:r w:rsidDel="00000000" w:rsidR="00000000" w:rsidRPr="00000000">
        <w:rPr>
          <w:rFonts w:ascii="Poppins" w:cs="Poppins" w:eastAsia="Poppins" w:hAnsi="Poppins"/>
          <w:color w:val="000000"/>
          <w:rtl w:val="0"/>
        </w:rPr>
        <w:t xml:space="preserve"> Gombe State Youth Parliament ; modèle de redevabilité Follow the Money ; associations de classes d’âge ; Parlements des enfants de l’UNICEF ; Forum des chefs traditionnels de jeunes Sarkin Samari.</w:t>
      </w:r>
      <w:r w:rsidDel="00000000" w:rsidR="00000000" w:rsidRPr="00000000">
        <w:rPr>
          <w:rtl w:val="0"/>
        </w:rPr>
      </w:r>
    </w:p>
    <w:p w:rsidR="00000000" w:rsidDel="00000000" w:rsidP="00000000" w:rsidRDefault="00000000" w:rsidRPr="00000000" w14:paraId="0000019B">
      <w:pPr>
        <w:spacing w:after="40" w:before="40" w:lineRule="auto"/>
        <w:jc w:val="both"/>
        <w:rPr>
          <w:rFonts w:ascii="Poppins" w:cs="Poppins" w:eastAsia="Poppins" w:hAnsi="Poppins"/>
          <w:color w:val="000000"/>
        </w:rPr>
      </w:pPr>
      <w:r w:rsidDel="00000000" w:rsidR="00000000" w:rsidRPr="00000000">
        <w:rPr>
          <w:rFonts w:ascii="Poppins" w:cs="Poppins" w:eastAsia="Poppins" w:hAnsi="Poppins"/>
          <w:b w:val="1"/>
          <w:bCs w:val="1"/>
          <w:color w:val="000000"/>
          <w:rtl w:val="0"/>
        </w:rPr>
        <w:t xml:space="preserve">Méthodologie de la Tâche 2.2 : </w:t>
      </w:r>
      <w:r w:rsidDel="00000000" w:rsidR="00000000" w:rsidRPr="00000000">
        <w:rPr>
          <w:rFonts w:ascii="Poppins" w:cs="Poppins" w:eastAsia="Poppins" w:hAnsi="Poppins"/>
          <w:color w:val="000000"/>
          <w:rtl w:val="0"/>
        </w:rPr>
        <w:t xml:space="preserve">Validation structurée avec un décideur politique, un leader communautaire et un représentant des jeunes. Écart critique de perception documenté. Niveau de confort des jeunes dans les cadres formels évalué entre deux et trois sur dix.</w:t>
      </w:r>
    </w:p>
    <w:p w:rsidR="00000000" w:rsidDel="00000000" w:rsidP="00000000" w:rsidRDefault="00000000" w:rsidRPr="00000000" w14:paraId="0000019C">
      <w:pPr>
        <w:spacing w:after="40" w:before="40" w:lineRule="auto"/>
        <w:jc w:val="both"/>
        <w:rPr>
          <w:rFonts w:ascii="Poppins" w:cs="Poppins" w:eastAsia="Poppins" w:hAnsi="Poppins"/>
        </w:rPr>
      </w:pPr>
      <w:r w:rsidDel="00000000" w:rsidR="00000000" w:rsidRPr="00000000">
        <w:rPr>
          <w:rtl w:val="0"/>
        </w:rPr>
      </w:r>
    </w:p>
    <w:p w:rsidR="00000000" w:rsidDel="00000000" w:rsidP="00000000" w:rsidRDefault="00000000" w:rsidRPr="00000000" w14:paraId="0000019D">
      <w:pPr>
        <w:pStyle w:val="Heading2"/>
        <w:keepNext w:val="1"/>
        <w:spacing w:after="80" w:before="280" w:lineRule="auto"/>
        <w:rPr>
          <w:rFonts w:ascii="Poppins" w:cs="Poppins" w:eastAsia="Poppins" w:hAnsi="Poppins"/>
          <w:color w:val="b7c3a1"/>
        </w:rPr>
      </w:pPr>
      <w:bookmarkStart w:colFirst="0" w:colLast="0" w:name="_heading=h.xp117avykvf2" w:id="40"/>
      <w:bookmarkEnd w:id="40"/>
      <w:r w:rsidDel="00000000" w:rsidR="00000000" w:rsidRPr="00000000">
        <w:rPr>
          <w:rFonts w:ascii="Poppins" w:cs="Poppins" w:eastAsia="Poppins" w:hAnsi="Poppins"/>
          <w:color w:val="b7c3a1"/>
          <w:rtl w:val="0"/>
        </w:rPr>
        <w:t xml:space="preserve">Grèce</w:t>
      </w:r>
    </w:p>
    <w:p w:rsidR="00000000" w:rsidDel="00000000" w:rsidP="00000000" w:rsidRDefault="00000000" w:rsidRPr="00000000" w14:paraId="0000019E">
      <w:pPr>
        <w:spacing w:after="40" w:before="40" w:lineRule="auto"/>
        <w:rPr>
          <w:rFonts w:ascii="Poppins" w:cs="Poppins" w:eastAsia="Poppins" w:hAnsi="Poppins"/>
          <w:b w:val="1"/>
          <w:bCs w:val="1"/>
          <w:color w:val="000000"/>
        </w:rPr>
      </w:pPr>
      <w:r w:rsidDel="00000000" w:rsidR="00000000" w:rsidRPr="00000000">
        <w:rPr>
          <w:rFonts w:ascii="Poppins" w:cs="Poppins" w:eastAsia="Poppins" w:hAnsi="Poppins"/>
          <w:b w:val="1"/>
          <w:bCs w:val="1"/>
          <w:color w:val="000000"/>
          <w:rtl w:val="0"/>
        </w:rPr>
        <w:t xml:space="preserve">Région : </w:t>
      </w:r>
      <w:r w:rsidDel="00000000" w:rsidR="00000000" w:rsidRPr="00000000">
        <w:rPr>
          <w:rFonts w:ascii="Poppins" w:cs="Poppins" w:eastAsia="Poppins" w:hAnsi="Poppins"/>
          <w:color w:val="000000"/>
          <w:rtl w:val="0"/>
        </w:rPr>
        <w:t xml:space="preserve">Europe</w:t>
      </w:r>
      <w:r w:rsidDel="00000000" w:rsidR="00000000" w:rsidRPr="00000000">
        <w:rPr>
          <w:rtl w:val="0"/>
        </w:rPr>
      </w:r>
    </w:p>
    <w:p w:rsidR="00000000" w:rsidDel="00000000" w:rsidP="00000000" w:rsidRDefault="00000000" w:rsidRPr="00000000" w14:paraId="0000019F">
      <w:pPr>
        <w:spacing w:after="40" w:before="40" w:lineRule="auto"/>
        <w:jc w:val="both"/>
        <w:rPr>
          <w:rFonts w:ascii="Poppins" w:cs="Poppins" w:eastAsia="Poppins" w:hAnsi="Poppins"/>
          <w:b w:val="1"/>
          <w:bCs w:val="1"/>
          <w:color w:val="000000"/>
        </w:rPr>
      </w:pPr>
      <w:r w:rsidDel="00000000" w:rsidR="00000000" w:rsidRPr="00000000">
        <w:rPr>
          <w:rFonts w:ascii="Poppins" w:cs="Poppins" w:eastAsia="Poppins" w:hAnsi="Poppins"/>
          <w:b w:val="1"/>
          <w:bCs w:val="1"/>
          <w:color w:val="000000"/>
          <w:rtl w:val="0"/>
        </w:rPr>
        <w:t xml:space="preserve">Organisation(s) chef(s) de file : </w:t>
      </w:r>
      <w:r w:rsidDel="00000000" w:rsidR="00000000" w:rsidRPr="00000000">
        <w:rPr>
          <w:rFonts w:ascii="Poppins" w:cs="Poppins" w:eastAsia="Poppins" w:hAnsi="Poppins"/>
          <w:color w:val="000000"/>
          <w:rtl w:val="0"/>
        </w:rPr>
        <w:t xml:space="preserve">Connectus</w:t>
      </w:r>
      <w:r w:rsidDel="00000000" w:rsidR="00000000" w:rsidRPr="00000000">
        <w:rPr>
          <w:rtl w:val="0"/>
        </w:rPr>
      </w:r>
    </w:p>
    <w:p w:rsidR="00000000" w:rsidDel="00000000" w:rsidP="00000000" w:rsidRDefault="00000000" w:rsidRPr="00000000" w14:paraId="000001A0">
      <w:pPr>
        <w:spacing w:after="40" w:before="40" w:lineRule="auto"/>
        <w:jc w:val="both"/>
        <w:rPr>
          <w:rFonts w:ascii="Poppins" w:cs="Poppins" w:eastAsia="Poppins" w:hAnsi="Poppins"/>
          <w:color w:val="000000"/>
        </w:rPr>
      </w:pPr>
      <w:r w:rsidDel="00000000" w:rsidR="00000000" w:rsidRPr="00000000">
        <w:rPr>
          <w:rFonts w:ascii="Poppins" w:cs="Poppins" w:eastAsia="Poppins" w:hAnsi="Poppins"/>
          <w:b w:val="1"/>
          <w:bCs w:val="1"/>
          <w:color w:val="000000"/>
          <w:rtl w:val="0"/>
        </w:rPr>
        <w:t xml:space="preserve">Cadre politique : </w:t>
      </w:r>
      <w:r w:rsidDel="00000000" w:rsidR="00000000" w:rsidRPr="00000000">
        <w:rPr>
          <w:rFonts w:ascii="Poppins" w:cs="Poppins" w:eastAsia="Poppins" w:hAnsi="Poppins"/>
          <w:color w:val="000000"/>
          <w:rtl w:val="0"/>
        </w:rPr>
        <w:t xml:space="preserve">Conseil national hellénique de la jeunesse (ESYN) ; Stratégie nationale d’autonomisation des jeunes « Youth 17-27 » ; Stratégie de l’UE en faveur de la jeunesse 2019-2027</w:t>
      </w:r>
    </w:p>
    <w:p w:rsidR="00000000" w:rsidDel="00000000" w:rsidP="00000000" w:rsidRDefault="00000000" w:rsidRPr="00000000" w14:paraId="000001A1">
      <w:pPr>
        <w:spacing w:after="40" w:before="40" w:lineRule="auto"/>
        <w:jc w:val="both"/>
        <w:rPr>
          <w:rFonts w:ascii="Poppins" w:cs="Poppins" w:eastAsia="Poppins" w:hAnsi="Poppins"/>
          <w:color w:val="000000"/>
        </w:rPr>
      </w:pPr>
      <w:r w:rsidDel="00000000" w:rsidR="00000000" w:rsidRPr="00000000">
        <w:rPr>
          <w:rFonts w:ascii="Poppins" w:cs="Poppins" w:eastAsia="Poppins" w:hAnsi="Poppins"/>
          <w:b w:val="1"/>
          <w:bCs w:val="1"/>
          <w:color w:val="000000"/>
          <w:rtl w:val="0"/>
        </w:rPr>
        <w:t xml:space="preserve">Forces clés : </w:t>
      </w:r>
      <w:r w:rsidDel="00000000" w:rsidR="00000000" w:rsidRPr="00000000">
        <w:rPr>
          <w:rFonts w:ascii="Poppins" w:cs="Poppins" w:eastAsia="Poppins" w:hAnsi="Poppins"/>
          <w:color w:val="000000"/>
          <w:rtl w:val="0"/>
        </w:rPr>
        <w:t xml:space="preserve">Écosystème de participation diversifié et formellement développé ; ESYN comme plateforme nationale efficace ; accès solide au financement de l’UE ; expérience documentée des Conseils municipaux des jeunes.</w:t>
      </w:r>
    </w:p>
    <w:p w:rsidR="00000000" w:rsidDel="00000000" w:rsidP="00000000" w:rsidRDefault="00000000" w:rsidRPr="00000000" w14:paraId="000001A2">
      <w:pPr>
        <w:spacing w:after="40" w:before="40" w:lineRule="auto"/>
        <w:jc w:val="both"/>
        <w:rPr>
          <w:rFonts w:ascii="Poppins" w:cs="Poppins" w:eastAsia="Poppins" w:hAnsi="Poppins"/>
          <w:color w:val="000000"/>
        </w:rPr>
      </w:pPr>
      <w:r w:rsidDel="00000000" w:rsidR="00000000" w:rsidRPr="00000000">
        <w:rPr>
          <w:rFonts w:ascii="Poppins" w:cs="Poppins" w:eastAsia="Poppins" w:hAnsi="Poppins"/>
          <w:b w:val="1"/>
          <w:bCs w:val="1"/>
          <w:color w:val="000000"/>
          <w:rtl w:val="0"/>
        </w:rPr>
        <w:t xml:space="preserve">Lacunes clés : </w:t>
      </w:r>
      <w:r w:rsidDel="00000000" w:rsidR="00000000" w:rsidRPr="00000000">
        <w:rPr>
          <w:rFonts w:ascii="Poppins" w:cs="Poppins" w:eastAsia="Poppins" w:hAnsi="Poppins"/>
          <w:color w:val="000000"/>
          <w:rtl w:val="0"/>
        </w:rPr>
        <w:t xml:space="preserve">Concentration urbaine des opportunités de participation ; Conseils municipaux des jeunes inégalement établis dans les municipalités rurales ; dépendance au financement par projet créant une fragilité structurelle.</w:t>
      </w:r>
    </w:p>
    <w:p w:rsidR="00000000" w:rsidDel="00000000" w:rsidP="00000000" w:rsidRDefault="00000000" w:rsidRPr="00000000" w14:paraId="000001A3">
      <w:pPr>
        <w:spacing w:after="40" w:before="40" w:lineRule="auto"/>
        <w:jc w:val="both"/>
        <w:rPr>
          <w:rFonts w:ascii="Poppins" w:cs="Poppins" w:eastAsia="Poppins" w:hAnsi="Poppins"/>
          <w:color w:val="000000"/>
        </w:rPr>
      </w:pPr>
      <w:r w:rsidDel="00000000" w:rsidR="00000000" w:rsidRPr="00000000">
        <w:rPr>
          <w:rFonts w:ascii="Poppins" w:cs="Poppins" w:eastAsia="Poppins" w:hAnsi="Poppins"/>
          <w:b w:val="1"/>
          <w:bCs w:val="1"/>
          <w:color w:val="000000"/>
          <w:rtl w:val="0"/>
        </w:rPr>
        <w:t xml:space="preserve">Bonnes pratiques : </w:t>
      </w:r>
      <w:r w:rsidDel="00000000" w:rsidR="00000000" w:rsidRPr="00000000">
        <w:rPr>
          <w:rFonts w:ascii="Poppins" w:cs="Poppins" w:eastAsia="Poppins" w:hAnsi="Poppins"/>
          <w:color w:val="000000"/>
          <w:rtl w:val="0"/>
        </w:rPr>
        <w:t xml:space="preserve">Conseil municipal des jeunes de Larissa ; projet de développement rural Share SIRA à Karditsa ; engagement pour la durabilité Ecogenia ; action communautaire Save Your Hood.</w:t>
      </w:r>
    </w:p>
    <w:p w:rsidR="00000000" w:rsidDel="00000000" w:rsidP="00000000" w:rsidRDefault="00000000" w:rsidRPr="00000000" w14:paraId="000001A4">
      <w:pPr>
        <w:spacing w:after="40" w:before="40" w:lineRule="auto"/>
        <w:jc w:val="both"/>
        <w:rPr>
          <w:rFonts w:ascii="Poppins" w:cs="Poppins" w:eastAsia="Poppins" w:hAnsi="Poppins"/>
          <w:color w:val="000000"/>
        </w:rPr>
      </w:pPr>
      <w:r w:rsidDel="00000000" w:rsidR="00000000" w:rsidRPr="00000000">
        <w:rPr>
          <w:rFonts w:ascii="Poppins" w:cs="Poppins" w:eastAsia="Poppins" w:hAnsi="Poppins"/>
          <w:b w:val="1"/>
          <w:bCs w:val="1"/>
          <w:color w:val="000000"/>
          <w:rtl w:val="0"/>
        </w:rPr>
        <w:t xml:space="preserve">Méthodologie de la Tâche 2.2 : </w:t>
      </w:r>
      <w:r w:rsidDel="00000000" w:rsidR="00000000" w:rsidRPr="00000000">
        <w:rPr>
          <w:rFonts w:ascii="Poppins" w:cs="Poppins" w:eastAsia="Poppins" w:hAnsi="Poppins"/>
          <w:color w:val="000000"/>
          <w:rtl w:val="0"/>
        </w:rPr>
        <w:t xml:space="preserve">Recherche documentaire ; appropriée au rôle de la Grèce comme pays de référence.</w:t>
      </w:r>
    </w:p>
    <w:p w:rsidR="00000000" w:rsidDel="00000000" w:rsidP="00000000" w:rsidRDefault="00000000" w:rsidRPr="00000000" w14:paraId="000001A5">
      <w:pPr>
        <w:spacing w:after="40" w:before="40" w:lineRule="auto"/>
        <w:jc w:val="both"/>
        <w:rPr>
          <w:rFonts w:ascii="Poppins" w:cs="Poppins" w:eastAsia="Poppins" w:hAnsi="Poppins"/>
        </w:rPr>
      </w:pPr>
      <w:r w:rsidDel="00000000" w:rsidR="00000000" w:rsidRPr="00000000">
        <w:rPr>
          <w:rtl w:val="0"/>
        </w:rPr>
      </w:r>
    </w:p>
    <w:p w:rsidR="00000000" w:rsidDel="00000000" w:rsidP="00000000" w:rsidRDefault="00000000" w:rsidRPr="00000000" w14:paraId="000001A6">
      <w:pPr>
        <w:pStyle w:val="Heading2"/>
        <w:keepNext w:val="1"/>
        <w:spacing w:after="80" w:before="280" w:lineRule="auto"/>
        <w:rPr>
          <w:rFonts w:ascii="Poppins" w:cs="Poppins" w:eastAsia="Poppins" w:hAnsi="Poppins"/>
          <w:color w:val="b7c3a1"/>
        </w:rPr>
      </w:pPr>
      <w:bookmarkStart w:colFirst="0" w:colLast="0" w:name="_heading=h.dmnq8773kt0g" w:id="41"/>
      <w:bookmarkEnd w:id="41"/>
      <w:r w:rsidDel="00000000" w:rsidR="00000000" w:rsidRPr="00000000">
        <w:rPr>
          <w:rFonts w:ascii="Poppins" w:cs="Poppins" w:eastAsia="Poppins" w:hAnsi="Poppins"/>
          <w:color w:val="b7c3a1"/>
          <w:rtl w:val="0"/>
        </w:rPr>
        <w:t xml:space="preserve">Italie</w:t>
      </w:r>
    </w:p>
    <w:p w:rsidR="00000000" w:rsidDel="00000000" w:rsidP="00000000" w:rsidRDefault="00000000" w:rsidRPr="00000000" w14:paraId="000001A7">
      <w:pPr>
        <w:spacing w:after="40" w:before="40" w:lineRule="auto"/>
        <w:jc w:val="both"/>
        <w:rPr>
          <w:rFonts w:ascii="Poppins" w:cs="Poppins" w:eastAsia="Poppins" w:hAnsi="Poppins"/>
          <w:b w:val="1"/>
          <w:bCs w:val="1"/>
        </w:rPr>
      </w:pPr>
      <w:r w:rsidDel="00000000" w:rsidR="00000000" w:rsidRPr="00000000">
        <w:rPr>
          <w:rFonts w:ascii="Poppins" w:cs="Poppins" w:eastAsia="Poppins" w:hAnsi="Poppins"/>
          <w:b w:val="1"/>
          <w:bCs w:val="1"/>
          <w:rtl w:val="0"/>
        </w:rPr>
        <w:t xml:space="preserve">Région : </w:t>
      </w:r>
      <w:r w:rsidDel="00000000" w:rsidR="00000000" w:rsidRPr="00000000">
        <w:rPr>
          <w:rFonts w:ascii="Poppins" w:cs="Poppins" w:eastAsia="Poppins" w:hAnsi="Poppins"/>
          <w:rtl w:val="0"/>
        </w:rPr>
        <w:t xml:space="preserve">Europe</w:t>
      </w:r>
      <w:r w:rsidDel="00000000" w:rsidR="00000000" w:rsidRPr="00000000">
        <w:rPr>
          <w:rtl w:val="0"/>
        </w:rPr>
      </w:r>
    </w:p>
    <w:p w:rsidR="00000000" w:rsidDel="00000000" w:rsidP="00000000" w:rsidRDefault="00000000" w:rsidRPr="00000000" w14:paraId="000001A8">
      <w:pPr>
        <w:spacing w:after="40" w:before="40" w:lineRule="auto"/>
        <w:jc w:val="both"/>
        <w:rPr>
          <w:rFonts w:ascii="Poppins" w:cs="Poppins" w:eastAsia="Poppins" w:hAnsi="Poppins"/>
          <w:b w:val="1"/>
          <w:bCs w:val="1"/>
        </w:rPr>
      </w:pPr>
      <w:r w:rsidDel="00000000" w:rsidR="00000000" w:rsidRPr="00000000">
        <w:rPr>
          <w:rFonts w:ascii="Poppins" w:cs="Poppins" w:eastAsia="Poppins" w:hAnsi="Poppins"/>
          <w:b w:val="1"/>
          <w:bCs w:val="1"/>
          <w:rtl w:val="0"/>
        </w:rPr>
        <w:t xml:space="preserve">Organisation(s) chef(s) de file : </w:t>
      </w:r>
      <w:r w:rsidDel="00000000" w:rsidR="00000000" w:rsidRPr="00000000">
        <w:rPr>
          <w:rFonts w:ascii="Poppins" w:cs="Poppins" w:eastAsia="Poppins" w:hAnsi="Poppins"/>
          <w:rtl w:val="0"/>
        </w:rPr>
        <w:t xml:space="preserve">A Rocca</w:t>
      </w:r>
      <w:r w:rsidDel="00000000" w:rsidR="00000000" w:rsidRPr="00000000">
        <w:rPr>
          <w:rtl w:val="0"/>
        </w:rPr>
      </w:r>
    </w:p>
    <w:p w:rsidR="00000000" w:rsidDel="00000000" w:rsidP="00000000" w:rsidRDefault="00000000" w:rsidRPr="00000000" w14:paraId="000001A9">
      <w:pPr>
        <w:spacing w:after="40" w:before="40" w:lineRule="auto"/>
        <w:jc w:val="both"/>
        <w:rPr>
          <w:rFonts w:ascii="Poppins" w:cs="Poppins" w:eastAsia="Poppins" w:hAnsi="Poppins"/>
        </w:rPr>
      </w:pPr>
      <w:r w:rsidDel="00000000" w:rsidR="00000000" w:rsidRPr="00000000">
        <w:rPr>
          <w:rFonts w:ascii="Poppins" w:cs="Poppins" w:eastAsia="Poppins" w:hAnsi="Poppins"/>
          <w:b w:val="1"/>
          <w:bCs w:val="1"/>
          <w:rtl w:val="0"/>
        </w:rPr>
        <w:t xml:space="preserve">Cadre politique : Loi 145/2018 (CNG) ; S</w:t>
      </w:r>
      <w:r w:rsidDel="00000000" w:rsidR="00000000" w:rsidRPr="00000000">
        <w:rPr>
          <w:rFonts w:ascii="Poppins" w:cs="Poppins" w:eastAsia="Poppins" w:hAnsi="Poppins"/>
          <w:rtl w:val="0"/>
        </w:rPr>
        <w:t xml:space="preserve">NAI Stratégie nationale pour les zones intérieures ; PNRR ; Loi 36/2024 sur l’agriculture des jeunes ; législation régionale jeunesse</w:t>
      </w:r>
    </w:p>
    <w:p w:rsidR="00000000" w:rsidDel="00000000" w:rsidP="00000000" w:rsidRDefault="00000000" w:rsidRPr="00000000" w14:paraId="000001AA">
      <w:pPr>
        <w:spacing w:after="40" w:before="40" w:lineRule="auto"/>
        <w:jc w:val="both"/>
        <w:rPr>
          <w:rFonts w:ascii="Poppins" w:cs="Poppins" w:eastAsia="Poppins" w:hAnsi="Poppins"/>
        </w:rPr>
      </w:pPr>
      <w:r w:rsidDel="00000000" w:rsidR="00000000" w:rsidRPr="00000000">
        <w:rPr>
          <w:rFonts w:ascii="Poppins" w:cs="Poppins" w:eastAsia="Poppins" w:hAnsi="Poppins"/>
          <w:b w:val="1"/>
          <w:bCs w:val="1"/>
          <w:rtl w:val="0"/>
        </w:rPr>
        <w:t xml:space="preserve">Forces clés : </w:t>
      </w:r>
      <w:r w:rsidDel="00000000" w:rsidR="00000000" w:rsidRPr="00000000">
        <w:rPr>
          <w:rFonts w:ascii="Poppins" w:cs="Poppins" w:eastAsia="Poppins" w:hAnsi="Poppins"/>
          <w:rtl w:val="0"/>
        </w:rPr>
        <w:t xml:space="preserve">Forte disponibilité des ressources PNRR ; Groupes de soutien locaux YEPP Italia dans plus de cinquante municipalités ; plateforme d’internationalisation durable d’A Rocca en Sicile ; société civile solide ; subventions non remboursables Resto al Sud soutenant plus de trois mille jeunes entrepreneurs siciliens.</w:t>
      </w:r>
    </w:p>
    <w:p w:rsidR="00000000" w:rsidDel="00000000" w:rsidP="00000000" w:rsidRDefault="00000000" w:rsidRPr="00000000" w14:paraId="000001AB">
      <w:pPr>
        <w:spacing w:after="40" w:before="40" w:lineRule="auto"/>
        <w:jc w:val="both"/>
        <w:rPr>
          <w:rFonts w:ascii="Poppins" w:cs="Poppins" w:eastAsia="Poppins" w:hAnsi="Poppins"/>
          <w:b w:val="1"/>
          <w:bCs w:val="1"/>
        </w:rPr>
      </w:pPr>
      <w:r w:rsidDel="00000000" w:rsidR="00000000" w:rsidRPr="00000000">
        <w:rPr>
          <w:rFonts w:ascii="Poppins" w:cs="Poppins" w:eastAsia="Poppins" w:hAnsi="Poppins"/>
          <w:b w:val="1"/>
          <w:bCs w:val="1"/>
          <w:rtl w:val="0"/>
        </w:rPr>
        <w:t xml:space="preserve">Lacunes clés : </w:t>
      </w:r>
      <w:r w:rsidDel="00000000" w:rsidR="00000000" w:rsidRPr="00000000">
        <w:rPr>
          <w:rFonts w:ascii="Poppins" w:cs="Poppins" w:eastAsia="Poppins" w:hAnsi="Poppins"/>
          <w:rtl w:val="0"/>
        </w:rPr>
        <w:t xml:space="preserve">Taux de chômage des jeunes de cinquante-trois virgule six pour cent en Sicile ; absence d’une stratégie nationale unifiée pour la jeunesse ; fragmentation institutionnelle ; mise en œuvre limitée des cadres régionaux dans les municipalités rurales.</w:t>
      </w:r>
      <w:r w:rsidDel="00000000" w:rsidR="00000000" w:rsidRPr="00000000">
        <w:rPr>
          <w:rtl w:val="0"/>
        </w:rPr>
      </w:r>
    </w:p>
    <w:p w:rsidR="00000000" w:rsidDel="00000000" w:rsidP="00000000" w:rsidRDefault="00000000" w:rsidRPr="00000000" w14:paraId="000001AC">
      <w:pPr>
        <w:spacing w:after="40" w:before="40" w:lineRule="auto"/>
        <w:jc w:val="both"/>
        <w:rPr>
          <w:rFonts w:ascii="Poppins" w:cs="Poppins" w:eastAsia="Poppins" w:hAnsi="Poppins"/>
        </w:rPr>
      </w:pPr>
      <w:r w:rsidDel="00000000" w:rsidR="00000000" w:rsidRPr="00000000">
        <w:rPr>
          <w:rFonts w:ascii="Poppins" w:cs="Poppins" w:eastAsia="Poppins" w:hAnsi="Poppins"/>
          <w:b w:val="1"/>
          <w:bCs w:val="1"/>
          <w:rtl w:val="0"/>
        </w:rPr>
        <w:t xml:space="preserve">Bonnes pratiques : </w:t>
      </w:r>
      <w:r w:rsidDel="00000000" w:rsidR="00000000" w:rsidRPr="00000000">
        <w:rPr>
          <w:rFonts w:ascii="Poppins" w:cs="Poppins" w:eastAsia="Poppins" w:hAnsi="Poppins"/>
          <w:rtl w:val="0"/>
        </w:rPr>
        <w:t xml:space="preserve">Groupes de soutien locaux YEPP Italia ; hub ESC A Rocca ; revitalisation des Borghi par le PNRR ; subventions entrepreneuriales Resto al Sud.</w:t>
      </w:r>
    </w:p>
    <w:p w:rsidR="00000000" w:rsidDel="00000000" w:rsidP="00000000" w:rsidRDefault="00000000" w:rsidRPr="00000000" w14:paraId="000001AD">
      <w:pPr>
        <w:spacing w:after="40" w:before="40" w:lineRule="auto"/>
        <w:jc w:val="both"/>
        <w:rPr>
          <w:rFonts w:ascii="Poppins" w:cs="Poppins" w:eastAsia="Poppins" w:hAnsi="Poppins"/>
        </w:rPr>
      </w:pPr>
      <w:r w:rsidDel="00000000" w:rsidR="00000000" w:rsidRPr="00000000">
        <w:rPr>
          <w:rFonts w:ascii="Poppins" w:cs="Poppins" w:eastAsia="Poppins" w:hAnsi="Poppins"/>
          <w:b w:val="1"/>
          <w:bCs w:val="1"/>
          <w:rtl w:val="0"/>
        </w:rPr>
        <w:t xml:space="preserve">Méthodologie de la Tâche 2.2 : </w:t>
      </w:r>
      <w:r w:rsidDel="00000000" w:rsidR="00000000" w:rsidRPr="00000000">
        <w:rPr>
          <w:rFonts w:ascii="Poppins" w:cs="Poppins" w:eastAsia="Poppins" w:hAnsi="Poppins"/>
          <w:rtl w:val="0"/>
        </w:rPr>
        <w:t xml:space="preserve">Groupes de discussion avec des jeunes et des travailleurs de jeunesse ; préférence pour les outils fondés sur des projets documentée ; disparités territoriales et faibles boucles de retour d’information confirmées.</w:t>
      </w:r>
    </w:p>
    <w:p w:rsidR="00000000" w:rsidDel="00000000" w:rsidP="00000000" w:rsidRDefault="00000000" w:rsidRPr="00000000" w14:paraId="000001AE">
      <w:pPr>
        <w:spacing w:after="40" w:before="40" w:lineRule="auto"/>
        <w:rPr>
          <w:rFonts w:ascii="Poppins" w:cs="Poppins" w:eastAsia="Poppins" w:hAnsi="Poppins"/>
        </w:rPr>
      </w:pPr>
      <w:r w:rsidDel="00000000" w:rsidR="00000000" w:rsidRPr="00000000">
        <w:rPr>
          <w:rtl w:val="0"/>
        </w:rPr>
      </w:r>
    </w:p>
    <w:p w:rsidR="00000000" w:rsidDel="00000000" w:rsidP="00000000" w:rsidRDefault="00000000" w:rsidRPr="00000000" w14:paraId="000001AF">
      <w:pPr>
        <w:pStyle w:val="Heading2"/>
        <w:keepNext w:val="1"/>
        <w:spacing w:after="80" w:before="280" w:lineRule="auto"/>
        <w:rPr>
          <w:rFonts w:ascii="Poppins" w:cs="Poppins" w:eastAsia="Poppins" w:hAnsi="Poppins"/>
          <w:color w:val="b7c3a1"/>
        </w:rPr>
      </w:pPr>
      <w:bookmarkStart w:colFirst="0" w:colLast="0" w:name="_heading=h.c49s8rvcatzr" w:id="42"/>
      <w:bookmarkEnd w:id="42"/>
      <w:r w:rsidDel="00000000" w:rsidR="00000000" w:rsidRPr="00000000">
        <w:rPr>
          <w:rFonts w:ascii="Poppins" w:cs="Poppins" w:eastAsia="Poppins" w:hAnsi="Poppins"/>
          <w:color w:val="b7c3a1"/>
          <w:rtl w:val="0"/>
        </w:rPr>
        <w:t xml:space="preserve">Roumanie</w:t>
      </w:r>
    </w:p>
    <w:p w:rsidR="00000000" w:rsidDel="00000000" w:rsidP="00000000" w:rsidRDefault="00000000" w:rsidRPr="00000000" w14:paraId="000001B0">
      <w:pPr>
        <w:spacing w:after="40" w:before="40" w:lineRule="auto"/>
        <w:rPr>
          <w:rFonts w:ascii="Poppins" w:cs="Poppins" w:eastAsia="Poppins" w:hAnsi="Poppins"/>
          <w:b w:val="1"/>
          <w:bCs w:val="1"/>
          <w:color w:val="000000"/>
        </w:rPr>
      </w:pPr>
      <w:r w:rsidDel="00000000" w:rsidR="00000000" w:rsidRPr="00000000">
        <w:rPr>
          <w:rFonts w:ascii="Poppins" w:cs="Poppins" w:eastAsia="Poppins" w:hAnsi="Poppins"/>
          <w:b w:val="1"/>
          <w:bCs w:val="1"/>
          <w:color w:val="000000"/>
          <w:rtl w:val="0"/>
        </w:rPr>
        <w:t xml:space="preserve">Région : </w:t>
      </w:r>
      <w:r w:rsidDel="00000000" w:rsidR="00000000" w:rsidRPr="00000000">
        <w:rPr>
          <w:rFonts w:ascii="Poppins" w:cs="Poppins" w:eastAsia="Poppins" w:hAnsi="Poppins"/>
          <w:color w:val="000000"/>
          <w:rtl w:val="0"/>
        </w:rPr>
        <w:t xml:space="preserve">Europe</w:t>
      </w:r>
      <w:r w:rsidDel="00000000" w:rsidR="00000000" w:rsidRPr="00000000">
        <w:rPr>
          <w:rtl w:val="0"/>
        </w:rPr>
      </w:r>
    </w:p>
    <w:p w:rsidR="00000000" w:rsidDel="00000000" w:rsidP="00000000" w:rsidRDefault="00000000" w:rsidRPr="00000000" w14:paraId="000001B1">
      <w:pPr>
        <w:spacing w:after="40" w:before="40" w:lineRule="auto"/>
        <w:jc w:val="both"/>
        <w:rPr>
          <w:rFonts w:ascii="Poppins" w:cs="Poppins" w:eastAsia="Poppins" w:hAnsi="Poppins"/>
          <w:color w:val="000000"/>
        </w:rPr>
      </w:pPr>
      <w:r w:rsidDel="00000000" w:rsidR="00000000" w:rsidRPr="00000000">
        <w:rPr>
          <w:rFonts w:ascii="Poppins" w:cs="Poppins" w:eastAsia="Poppins" w:hAnsi="Poppins"/>
          <w:b w:val="1"/>
          <w:bCs w:val="1"/>
          <w:color w:val="000000"/>
          <w:rtl w:val="0"/>
        </w:rPr>
        <w:t xml:space="preserve">Organisation(s) chef(s) de file : </w:t>
      </w:r>
      <w:r w:rsidDel="00000000" w:rsidR="00000000" w:rsidRPr="00000000">
        <w:rPr>
          <w:rFonts w:ascii="Poppins" w:cs="Poppins" w:eastAsia="Poppins" w:hAnsi="Poppins"/>
          <w:color w:val="000000"/>
          <w:rtl w:val="0"/>
        </w:rPr>
        <w:t xml:space="preserve">LAG Napoca Porolissum</w:t>
      </w:r>
    </w:p>
    <w:p w:rsidR="00000000" w:rsidDel="00000000" w:rsidP="00000000" w:rsidRDefault="00000000" w:rsidRPr="00000000" w14:paraId="000001B2">
      <w:pPr>
        <w:spacing w:after="40" w:before="40" w:lineRule="auto"/>
        <w:jc w:val="both"/>
        <w:rPr>
          <w:rFonts w:ascii="Poppins" w:cs="Poppins" w:eastAsia="Poppins" w:hAnsi="Poppins"/>
          <w:color w:val="000000"/>
        </w:rPr>
      </w:pPr>
      <w:r w:rsidDel="00000000" w:rsidR="00000000" w:rsidRPr="00000000">
        <w:rPr>
          <w:rFonts w:ascii="Poppins" w:cs="Poppins" w:eastAsia="Poppins" w:hAnsi="Poppins"/>
          <w:b w:val="1"/>
          <w:bCs w:val="1"/>
          <w:color w:val="000000"/>
          <w:rtl w:val="0"/>
        </w:rPr>
        <w:t xml:space="preserve">Cadre politique :</w:t>
      </w:r>
      <w:r w:rsidDel="00000000" w:rsidR="00000000" w:rsidRPr="00000000">
        <w:rPr>
          <w:rFonts w:ascii="Poppins" w:cs="Poppins" w:eastAsia="Poppins" w:hAnsi="Poppins"/>
          <w:color w:val="000000"/>
          <w:rtl w:val="0"/>
        </w:rPr>
        <w:t xml:space="preserve"> Loi sur la jeunesse 350/2006 ; Loi 52/2003 ; Stratégie nationale pour la jeunesse 2024-2027 ; Décision gouvernementale 197/2022</w:t>
      </w:r>
    </w:p>
    <w:p w:rsidR="00000000" w:rsidDel="00000000" w:rsidP="00000000" w:rsidRDefault="00000000" w:rsidRPr="00000000" w14:paraId="000001B3">
      <w:pPr>
        <w:spacing w:after="40" w:before="40" w:lineRule="auto"/>
        <w:jc w:val="both"/>
        <w:rPr>
          <w:rFonts w:ascii="Poppins" w:cs="Poppins" w:eastAsia="Poppins" w:hAnsi="Poppins"/>
          <w:b w:val="1"/>
          <w:bCs w:val="1"/>
          <w:color w:val="000000"/>
        </w:rPr>
      </w:pPr>
      <w:r w:rsidDel="00000000" w:rsidR="00000000" w:rsidRPr="00000000">
        <w:rPr>
          <w:rFonts w:ascii="Poppins" w:cs="Poppins" w:eastAsia="Poppins" w:hAnsi="Poppins"/>
          <w:b w:val="1"/>
          <w:bCs w:val="1"/>
          <w:color w:val="000000"/>
          <w:rtl w:val="0"/>
        </w:rPr>
        <w:t xml:space="preserve">Forces clés : </w:t>
      </w:r>
      <w:r w:rsidDel="00000000" w:rsidR="00000000" w:rsidRPr="00000000">
        <w:rPr>
          <w:rFonts w:ascii="Poppins" w:cs="Poppins" w:eastAsia="Poppins" w:hAnsi="Poppins"/>
          <w:color w:val="000000"/>
          <w:rtl w:val="0"/>
        </w:rPr>
        <w:t xml:space="preserve">Modèle de Parlement rural des jeunes basé sur le LAG, entièrement documenté et testé ; cadre juridique clair et favorable, avec dispositions explicites pour les jeunes ruraux ; gouvernance LEADER comme infrastructure de participation ; capacité de médiation de la fédération d’ONG.</w:t>
      </w:r>
      <w:r w:rsidDel="00000000" w:rsidR="00000000" w:rsidRPr="00000000">
        <w:rPr>
          <w:rtl w:val="0"/>
        </w:rPr>
      </w:r>
    </w:p>
    <w:p w:rsidR="00000000" w:rsidDel="00000000" w:rsidP="00000000" w:rsidRDefault="00000000" w:rsidRPr="00000000" w14:paraId="000001B4">
      <w:pPr>
        <w:spacing w:after="40" w:before="40" w:lineRule="auto"/>
        <w:jc w:val="both"/>
        <w:rPr>
          <w:rFonts w:ascii="Poppins" w:cs="Poppins" w:eastAsia="Poppins" w:hAnsi="Poppins"/>
          <w:color w:val="000000"/>
        </w:rPr>
      </w:pPr>
      <w:r w:rsidDel="00000000" w:rsidR="00000000" w:rsidRPr="00000000">
        <w:rPr>
          <w:rFonts w:ascii="Poppins" w:cs="Poppins" w:eastAsia="Poppins" w:hAnsi="Poppins"/>
          <w:b w:val="1"/>
          <w:bCs w:val="1"/>
          <w:color w:val="000000"/>
          <w:rtl w:val="0"/>
        </w:rPr>
        <w:t xml:space="preserve">Lacunes clés : </w:t>
      </w:r>
      <w:r w:rsidDel="00000000" w:rsidR="00000000" w:rsidRPr="00000000">
        <w:rPr>
          <w:rFonts w:ascii="Poppins" w:cs="Poppins" w:eastAsia="Poppins" w:hAnsi="Poppins"/>
          <w:color w:val="000000"/>
          <w:rtl w:val="0"/>
        </w:rPr>
        <w:t xml:space="preserve">Capacité limitée de médiation rurale dans les territoires montagneux dispersés ; obstacles géographiques et de transport ; incertitude liée à la transition institutionnelle après la création des Directions départementales de la jeunesse et de la famille.</w:t>
      </w:r>
    </w:p>
    <w:p w:rsidR="00000000" w:rsidDel="00000000" w:rsidP="00000000" w:rsidRDefault="00000000" w:rsidRPr="00000000" w14:paraId="000001B5">
      <w:pPr>
        <w:spacing w:after="40" w:before="40" w:lineRule="auto"/>
        <w:jc w:val="both"/>
        <w:rPr>
          <w:rFonts w:ascii="Poppins" w:cs="Poppins" w:eastAsia="Poppins" w:hAnsi="Poppins"/>
          <w:color w:val="000000"/>
        </w:rPr>
      </w:pPr>
      <w:r w:rsidDel="00000000" w:rsidR="00000000" w:rsidRPr="00000000">
        <w:rPr>
          <w:rFonts w:ascii="Poppins" w:cs="Poppins" w:eastAsia="Poppins" w:hAnsi="Poppins"/>
          <w:b w:val="1"/>
          <w:bCs w:val="1"/>
          <w:color w:val="000000"/>
          <w:rtl w:val="0"/>
        </w:rPr>
        <w:t xml:space="preserve">Bonnes pratiques : </w:t>
      </w:r>
      <w:r w:rsidDel="00000000" w:rsidR="00000000" w:rsidRPr="00000000">
        <w:rPr>
          <w:rFonts w:ascii="Poppins" w:cs="Poppins" w:eastAsia="Poppins" w:hAnsi="Poppins"/>
          <w:color w:val="000000"/>
          <w:rtl w:val="0"/>
        </w:rPr>
        <w:t xml:space="preserve">Modèle de simulation de Parlement rural des jeunes avec documentation méthodologique complète ; processus d’intégration de la consultation par le LAG ; boîte à outils de méthodologie participative ; services de médiation de la fédération d’ONG.</w:t>
      </w:r>
    </w:p>
    <w:p w:rsidR="00000000" w:rsidDel="00000000" w:rsidP="00000000" w:rsidRDefault="00000000" w:rsidRPr="00000000" w14:paraId="000001B6">
      <w:pPr>
        <w:spacing w:after="40" w:before="40" w:lineRule="auto"/>
        <w:jc w:val="both"/>
        <w:rPr>
          <w:rFonts w:ascii="Poppins" w:cs="Poppins" w:eastAsia="Poppins" w:hAnsi="Poppins"/>
          <w:color w:val="000000"/>
        </w:rPr>
      </w:pPr>
      <w:r w:rsidDel="00000000" w:rsidR="00000000" w:rsidRPr="00000000">
        <w:rPr>
          <w:rFonts w:ascii="Poppins" w:cs="Poppins" w:eastAsia="Poppins" w:hAnsi="Poppins"/>
          <w:b w:val="1"/>
          <w:bCs w:val="1"/>
          <w:color w:val="000000"/>
          <w:rtl w:val="0"/>
        </w:rPr>
        <w:t xml:space="preserve">Méthodologie de la Tâche 2.2 : </w:t>
      </w:r>
      <w:r w:rsidDel="00000000" w:rsidR="00000000" w:rsidRPr="00000000">
        <w:rPr>
          <w:rFonts w:ascii="Poppins" w:cs="Poppins" w:eastAsia="Poppins" w:hAnsi="Poppins"/>
          <w:color w:val="000000"/>
          <w:rtl w:val="0"/>
        </w:rPr>
        <w:t xml:space="preserve">Recherche documentaire avec cartographie multi-niveaux de la gouvernance du territoire LAG Napoca Porolissum. Le RYP est documenté comme le modèle européen le plus directement transférable.</w:t>
      </w:r>
    </w:p>
    <w:p w:rsidR="00000000" w:rsidDel="00000000" w:rsidP="00000000" w:rsidRDefault="00000000" w:rsidRPr="00000000" w14:paraId="000001B7">
      <w:pPr>
        <w:spacing w:after="40" w:before="40" w:lineRule="auto"/>
        <w:rPr>
          <w:rFonts w:ascii="Poppins" w:cs="Poppins" w:eastAsia="Poppins" w:hAnsi="Poppins"/>
        </w:rPr>
      </w:pPr>
      <w:r w:rsidDel="00000000" w:rsidR="00000000" w:rsidRPr="00000000">
        <w:rPr>
          <w:rtl w:val="0"/>
        </w:rPr>
      </w:r>
    </w:p>
    <w:p w:rsidR="00000000" w:rsidDel="00000000" w:rsidP="00000000" w:rsidRDefault="00000000" w:rsidRPr="00000000" w14:paraId="000001B8">
      <w:pPr>
        <w:pStyle w:val="Heading1"/>
        <w:keepNext w:val="1"/>
        <w:spacing w:after="120" w:before="360" w:lineRule="auto"/>
        <w:rPr>
          <w:rFonts w:ascii="Poppins" w:cs="Poppins" w:eastAsia="Poppins" w:hAnsi="Poppins"/>
          <w:color w:val="2f6b3a"/>
        </w:rPr>
      </w:pPr>
      <w:r w:rsidDel="00000000" w:rsidR="00000000" w:rsidRPr="00000000">
        <w:rPr>
          <w:rFonts w:ascii="Poppins" w:cs="Poppins" w:eastAsia="Poppins" w:hAnsi="Poppins"/>
          <w:color w:val="2f6b3a"/>
          <w:rtl w:val="0"/>
        </w:rPr>
        <w:t xml:space="preserve">Annexe B : Glossaire des termes clés et abréviations</w:t>
      </w:r>
    </w:p>
    <w:p w:rsidR="00000000" w:rsidDel="00000000" w:rsidP="00000000" w:rsidRDefault="00000000" w:rsidRPr="00000000" w14:paraId="000001B9">
      <w:pPr>
        <w:spacing w:after="40" w:before="40" w:lineRule="auto"/>
        <w:jc w:val="both"/>
        <w:rPr>
          <w:rFonts w:ascii="Poppins" w:cs="Poppins" w:eastAsia="Poppins" w:hAnsi="Poppins"/>
        </w:rPr>
      </w:pPr>
      <w:r w:rsidDel="00000000" w:rsidR="00000000" w:rsidRPr="00000000">
        <w:rPr>
          <w:rFonts w:ascii="Poppins" w:cs="Poppins" w:eastAsia="Poppins" w:hAnsi="Poppins"/>
          <w:b w:val="1"/>
          <w:bCs w:val="1"/>
          <w:color w:val="2f6b3a"/>
          <w:rtl w:val="0"/>
        </w:rPr>
        <w:t xml:space="preserve">Andrimasompokonolona : </w:t>
      </w:r>
      <w:r w:rsidDel="00000000" w:rsidR="00000000" w:rsidRPr="00000000">
        <w:rPr>
          <w:rFonts w:ascii="Poppins" w:cs="Poppins" w:eastAsia="Poppins" w:hAnsi="Poppins"/>
          <w:rtl w:val="0"/>
        </w:rPr>
        <w:t xml:space="preserve">Système traditionnel de veille communautaire à Madagascar, dans lequel de jeunes hommes assument une responsabilité structurée pour la sécurité et l’ordre du village, représentant un rôle civique culturellement reconnu pour les jeunes ruraux.</w:t>
      </w:r>
    </w:p>
    <w:p w:rsidR="00000000" w:rsidDel="00000000" w:rsidP="00000000" w:rsidRDefault="00000000" w:rsidRPr="00000000" w14:paraId="000001BA">
      <w:pPr>
        <w:spacing w:after="40" w:before="40" w:lineRule="auto"/>
        <w:jc w:val="both"/>
        <w:rPr>
          <w:rFonts w:ascii="Poppins" w:cs="Poppins" w:eastAsia="Poppins" w:hAnsi="Poppins"/>
        </w:rPr>
      </w:pPr>
      <w:r w:rsidDel="00000000" w:rsidR="00000000" w:rsidRPr="00000000">
        <w:rPr>
          <w:rFonts w:ascii="Poppins" w:cs="Poppins" w:eastAsia="Poppins" w:hAnsi="Poppins"/>
          <w:b w:val="1"/>
          <w:bCs w:val="1"/>
          <w:color w:val="2f6b3a"/>
          <w:rtl w:val="0"/>
        </w:rPr>
        <w:t xml:space="preserve">CDA : Community Development Association (Nigeria) : </w:t>
      </w:r>
      <w:r w:rsidDel="00000000" w:rsidR="00000000" w:rsidRPr="00000000">
        <w:rPr>
          <w:rFonts w:ascii="Poppins" w:cs="Poppins" w:eastAsia="Poppins" w:hAnsi="Poppins"/>
          <w:rtl w:val="0"/>
        </w:rPr>
        <w:t xml:space="preserve">Organisation communautaire constituant la principale interface de la société civile pour la planification du développement rural et la gouvernance communautaire dans de nombreuses LGAs nigérianes.</w:t>
      </w:r>
    </w:p>
    <w:p w:rsidR="00000000" w:rsidDel="00000000" w:rsidP="00000000" w:rsidRDefault="00000000" w:rsidRPr="00000000" w14:paraId="000001BB">
      <w:pPr>
        <w:spacing w:after="40" w:before="40" w:lineRule="auto"/>
        <w:jc w:val="both"/>
        <w:rPr>
          <w:rFonts w:ascii="Poppins" w:cs="Poppins" w:eastAsia="Poppins" w:hAnsi="Poppins"/>
        </w:rPr>
      </w:pPr>
      <w:r w:rsidDel="00000000" w:rsidR="00000000" w:rsidRPr="00000000">
        <w:rPr>
          <w:rFonts w:ascii="Poppins" w:cs="Poppins" w:eastAsia="Poppins" w:hAnsi="Poppins"/>
          <w:b w:val="1"/>
          <w:bCs w:val="1"/>
          <w:color w:val="2f6b3a"/>
          <w:rtl w:val="0"/>
        </w:rPr>
        <w:t xml:space="preserve">CNG : Consiglio Nazionale dei Giovani : </w:t>
      </w:r>
      <w:r w:rsidDel="00000000" w:rsidR="00000000" w:rsidRPr="00000000">
        <w:rPr>
          <w:rFonts w:ascii="Poppins" w:cs="Poppins" w:eastAsia="Poppins" w:hAnsi="Poppins"/>
          <w:rtl w:val="0"/>
        </w:rPr>
        <w:t xml:space="preserve">Conseil national de la jeunesse d’Italie, établi par la Loi 145/2018 comme organe consultatif formel pour les affaires de jeunesse au niveau du gouvernement national.</w:t>
      </w:r>
    </w:p>
    <w:p w:rsidR="00000000" w:rsidDel="00000000" w:rsidP="00000000" w:rsidRDefault="00000000" w:rsidRPr="00000000" w14:paraId="000001BC">
      <w:pPr>
        <w:spacing w:after="40" w:before="40" w:lineRule="auto"/>
        <w:jc w:val="both"/>
        <w:rPr>
          <w:rFonts w:ascii="Poppins" w:cs="Poppins" w:eastAsia="Poppins" w:hAnsi="Poppins"/>
        </w:rPr>
      </w:pPr>
      <w:r w:rsidDel="00000000" w:rsidR="00000000" w:rsidRPr="00000000">
        <w:rPr>
          <w:rFonts w:ascii="Poppins" w:cs="Poppins" w:eastAsia="Poppins" w:hAnsi="Poppins"/>
          <w:b w:val="1"/>
          <w:bCs w:val="1"/>
          <w:color w:val="2f6b3a"/>
          <w:rtl w:val="0"/>
        </w:rPr>
        <w:t xml:space="preserve">CPA : Commonwealth Parliamentary Association :</w:t>
      </w:r>
      <w:r w:rsidDel="00000000" w:rsidR="00000000" w:rsidRPr="00000000">
        <w:rPr>
          <w:rFonts w:ascii="Poppins" w:cs="Poppins" w:eastAsia="Poppins" w:hAnsi="Poppins"/>
          <w:rtl w:val="0"/>
        </w:rPr>
        <w:t xml:space="preserve"> Organisation intergouvernementale dont le Youth Parliament Toolkit fournit une ressource largement utilisée pour la conception de programmes de simulation parlementaire.</w:t>
      </w:r>
    </w:p>
    <w:p w:rsidR="00000000" w:rsidDel="00000000" w:rsidP="00000000" w:rsidRDefault="00000000" w:rsidRPr="00000000" w14:paraId="000001BD">
      <w:pPr>
        <w:spacing w:after="40" w:before="40" w:lineRule="auto"/>
        <w:jc w:val="both"/>
        <w:rPr>
          <w:rFonts w:ascii="Poppins" w:cs="Poppins" w:eastAsia="Poppins" w:hAnsi="Poppins"/>
        </w:rPr>
      </w:pPr>
      <w:r w:rsidDel="00000000" w:rsidR="00000000" w:rsidRPr="00000000">
        <w:rPr>
          <w:rFonts w:ascii="Poppins" w:cs="Poppins" w:eastAsia="Poppins" w:hAnsi="Poppins"/>
          <w:b w:val="1"/>
          <w:bCs w:val="1"/>
          <w:color w:val="2f6b3a"/>
          <w:rtl w:val="0"/>
        </w:rPr>
        <w:t xml:space="preserve">EACEA : European Education and Culture Executive Agency : </w:t>
      </w:r>
      <w:r w:rsidDel="00000000" w:rsidR="00000000" w:rsidRPr="00000000">
        <w:rPr>
          <w:rFonts w:ascii="Poppins" w:cs="Poppins" w:eastAsia="Poppins" w:hAnsi="Poppins"/>
          <w:rtl w:val="0"/>
        </w:rPr>
        <w:t xml:space="preserve">Agence de l’UE responsable de la gestion des programmes Erasmus+ et Corps européen de solidarité, y compris la subvention EMPOWER+.</w:t>
      </w:r>
    </w:p>
    <w:p w:rsidR="00000000" w:rsidDel="00000000" w:rsidP="00000000" w:rsidRDefault="00000000" w:rsidRPr="00000000" w14:paraId="000001BE">
      <w:pPr>
        <w:spacing w:after="40" w:before="40" w:lineRule="auto"/>
        <w:jc w:val="both"/>
        <w:rPr>
          <w:rFonts w:ascii="Poppins" w:cs="Poppins" w:eastAsia="Poppins" w:hAnsi="Poppins"/>
        </w:rPr>
      </w:pPr>
      <w:r w:rsidDel="00000000" w:rsidR="00000000" w:rsidRPr="00000000">
        <w:rPr>
          <w:rFonts w:ascii="Poppins" w:cs="Poppins" w:eastAsia="Poppins" w:hAnsi="Poppins"/>
          <w:b w:val="1"/>
          <w:bCs w:val="1"/>
          <w:color w:val="2f6b3a"/>
          <w:rtl w:val="0"/>
        </w:rPr>
        <w:t xml:space="preserve">EMPOWER+ : </w:t>
      </w:r>
      <w:r w:rsidDel="00000000" w:rsidR="00000000" w:rsidRPr="00000000">
        <w:rPr>
          <w:rFonts w:ascii="Poppins" w:cs="Poppins" w:eastAsia="Poppins" w:hAnsi="Poppins"/>
          <w:rtl w:val="0"/>
        </w:rPr>
        <w:t xml:space="preserve">Empowering Rural Youth: Establishing and Strengthening the Rural Youth Parliament in Sub-Saharan Africa (ERASMUS-YOUTH-2025-CB-SSA, Project No. 101243075).</w:t>
      </w:r>
    </w:p>
    <w:p w:rsidR="00000000" w:rsidDel="00000000" w:rsidP="00000000" w:rsidRDefault="00000000" w:rsidRPr="00000000" w14:paraId="000001BF">
      <w:pPr>
        <w:spacing w:after="40" w:before="40" w:lineRule="auto"/>
        <w:jc w:val="both"/>
        <w:rPr>
          <w:rFonts w:ascii="Poppins" w:cs="Poppins" w:eastAsia="Poppins" w:hAnsi="Poppins"/>
        </w:rPr>
      </w:pPr>
      <w:r w:rsidDel="00000000" w:rsidR="00000000" w:rsidRPr="00000000">
        <w:rPr>
          <w:rFonts w:ascii="Poppins" w:cs="Poppins" w:eastAsia="Poppins" w:hAnsi="Poppins"/>
          <w:b w:val="1"/>
          <w:bCs w:val="1"/>
          <w:color w:val="2f6b3a"/>
          <w:rtl w:val="0"/>
        </w:rPr>
        <w:t xml:space="preserve">ESC : </w:t>
      </w:r>
      <w:r w:rsidDel="00000000" w:rsidR="00000000" w:rsidRPr="00000000">
        <w:rPr>
          <w:rFonts w:ascii="Poppins" w:cs="Poppins" w:eastAsia="Poppins" w:hAnsi="Poppins"/>
          <w:rtl w:val="0"/>
        </w:rPr>
        <w:t xml:space="preserve">Corps européen de solidarité : Programme de l’UE soutenant les activités volontaires et professionnelles de solidarité des jeunes Européens, complémentaire à Erasmus+.</w:t>
      </w:r>
    </w:p>
    <w:p w:rsidR="00000000" w:rsidDel="00000000" w:rsidP="00000000" w:rsidRDefault="00000000" w:rsidRPr="00000000" w14:paraId="000001C0">
      <w:pPr>
        <w:spacing w:after="40" w:before="40" w:lineRule="auto"/>
        <w:jc w:val="both"/>
        <w:rPr>
          <w:rFonts w:ascii="Poppins" w:cs="Poppins" w:eastAsia="Poppins" w:hAnsi="Poppins"/>
        </w:rPr>
      </w:pPr>
      <w:r w:rsidDel="00000000" w:rsidR="00000000" w:rsidRPr="00000000">
        <w:rPr>
          <w:rFonts w:ascii="Poppins" w:cs="Poppins" w:eastAsia="Poppins" w:hAnsi="Poppins"/>
          <w:b w:val="1"/>
          <w:bCs w:val="1"/>
          <w:color w:val="2f6b3a"/>
          <w:rtl w:val="0"/>
        </w:rPr>
        <w:t xml:space="preserve">ESYN : </w:t>
      </w:r>
      <w:r w:rsidDel="00000000" w:rsidR="00000000" w:rsidRPr="00000000">
        <w:rPr>
          <w:rFonts w:ascii="Poppins" w:cs="Poppins" w:eastAsia="Poppins" w:hAnsi="Poppins"/>
          <w:rtl w:val="0"/>
        </w:rPr>
        <w:t xml:space="preserve">Conseil national hellénique de la jeunesse : Principal organe représentatif des organisations de jeunesse en Grèce au niveau national.</w:t>
      </w:r>
    </w:p>
    <w:p w:rsidR="00000000" w:rsidDel="00000000" w:rsidP="00000000" w:rsidRDefault="00000000" w:rsidRPr="00000000" w14:paraId="000001C1">
      <w:pPr>
        <w:spacing w:after="40" w:before="40" w:lineRule="auto"/>
        <w:jc w:val="both"/>
        <w:rPr>
          <w:rFonts w:ascii="Poppins" w:cs="Poppins" w:eastAsia="Poppins" w:hAnsi="Poppins"/>
        </w:rPr>
      </w:pPr>
      <w:r w:rsidDel="00000000" w:rsidR="00000000" w:rsidRPr="00000000">
        <w:rPr>
          <w:rFonts w:ascii="Poppins" w:cs="Poppins" w:eastAsia="Poppins" w:hAnsi="Poppins"/>
          <w:b w:val="1"/>
          <w:bCs w:val="1"/>
          <w:color w:val="2f6b3a"/>
          <w:rtl w:val="0"/>
        </w:rPr>
        <w:t xml:space="preserve">FGD :</w:t>
      </w:r>
      <w:r w:rsidDel="00000000" w:rsidR="00000000" w:rsidRPr="00000000">
        <w:rPr>
          <w:rFonts w:ascii="Poppins" w:cs="Poppins" w:eastAsia="Poppins" w:hAnsi="Poppins"/>
          <w:rtl w:val="0"/>
        </w:rPr>
        <w:t xml:space="preserve"> Focus Group Discussion : Méthode structurée de recherche en groupe utilisée au Botswana, à Maurice et en Italie pour recueillir les perspectives des parties prenantes sur l’efficacité des outils de participation.</w:t>
      </w:r>
    </w:p>
    <w:p w:rsidR="00000000" w:rsidDel="00000000" w:rsidP="00000000" w:rsidRDefault="00000000" w:rsidRPr="00000000" w14:paraId="000001C2">
      <w:pPr>
        <w:spacing w:after="40" w:before="40" w:lineRule="auto"/>
        <w:jc w:val="both"/>
        <w:rPr>
          <w:rFonts w:ascii="Poppins" w:cs="Poppins" w:eastAsia="Poppins" w:hAnsi="Poppins"/>
        </w:rPr>
      </w:pPr>
      <w:r w:rsidDel="00000000" w:rsidR="00000000" w:rsidRPr="00000000">
        <w:rPr>
          <w:rFonts w:ascii="Poppins" w:cs="Poppins" w:eastAsia="Poppins" w:hAnsi="Poppins"/>
          <w:b w:val="1"/>
          <w:bCs w:val="1"/>
          <w:color w:val="2f6b3a"/>
          <w:rtl w:val="0"/>
        </w:rPr>
        <w:t xml:space="preserve">IDEA :</w:t>
      </w:r>
      <w:r w:rsidDel="00000000" w:rsidR="00000000" w:rsidRPr="00000000">
        <w:rPr>
          <w:rFonts w:ascii="Poppins" w:cs="Poppins" w:eastAsia="Poppins" w:hAnsi="Poppins"/>
          <w:rtl w:val="0"/>
        </w:rPr>
        <w:t xml:space="preserve"> International Institute for Democracy and Electoral Assistance : Organisation intergouvernementale apportant un soutien aux institutions de gouvernance démocratique, y compris aux cadres parlementaires de jeunesse.</w:t>
      </w:r>
    </w:p>
    <w:p w:rsidR="00000000" w:rsidDel="00000000" w:rsidP="00000000" w:rsidRDefault="00000000" w:rsidRPr="00000000" w14:paraId="000001C3">
      <w:pPr>
        <w:spacing w:after="40" w:before="40" w:lineRule="auto"/>
        <w:jc w:val="both"/>
        <w:rPr>
          <w:rFonts w:ascii="Poppins" w:cs="Poppins" w:eastAsia="Poppins" w:hAnsi="Poppins"/>
        </w:rPr>
      </w:pPr>
      <w:r w:rsidDel="00000000" w:rsidR="00000000" w:rsidRPr="00000000">
        <w:rPr>
          <w:rFonts w:ascii="Poppins" w:cs="Poppins" w:eastAsia="Poppins" w:hAnsi="Poppins"/>
          <w:b w:val="1"/>
          <w:bCs w:val="1"/>
          <w:color w:val="2f6b3a"/>
          <w:rtl w:val="0"/>
        </w:rPr>
        <w:t xml:space="preserve">Kgotla : </w:t>
      </w:r>
      <w:r w:rsidDel="00000000" w:rsidR="00000000" w:rsidRPr="00000000">
        <w:rPr>
          <w:rFonts w:ascii="Poppins" w:cs="Poppins" w:eastAsia="Poppins" w:hAnsi="Poppins"/>
          <w:rtl w:val="0"/>
        </w:rPr>
        <w:t xml:space="preserve">Système traditionnel d’assemblée communautaire au Botswana, convoqué par le Kgosi, chef communautaire héréditaire. Institution centrale de la culture démocratique du Botswana et espace de participation civique le plus accessible pour les jeunes ruraux.</w:t>
      </w:r>
    </w:p>
    <w:p w:rsidR="00000000" w:rsidDel="00000000" w:rsidP="00000000" w:rsidRDefault="00000000" w:rsidRPr="00000000" w14:paraId="000001C4">
      <w:pPr>
        <w:spacing w:after="40" w:before="40" w:lineRule="auto"/>
        <w:jc w:val="both"/>
        <w:rPr>
          <w:rFonts w:ascii="Poppins" w:cs="Poppins" w:eastAsia="Poppins" w:hAnsi="Poppins"/>
        </w:rPr>
      </w:pPr>
      <w:r w:rsidDel="00000000" w:rsidR="00000000" w:rsidRPr="00000000">
        <w:rPr>
          <w:rFonts w:ascii="Poppins" w:cs="Poppins" w:eastAsia="Poppins" w:hAnsi="Poppins"/>
          <w:b w:val="1"/>
          <w:bCs w:val="1"/>
          <w:color w:val="2f6b3a"/>
          <w:rtl w:val="0"/>
        </w:rPr>
        <w:t xml:space="preserve">LAG : </w:t>
      </w:r>
      <w:r w:rsidDel="00000000" w:rsidR="00000000" w:rsidRPr="00000000">
        <w:rPr>
          <w:rFonts w:ascii="Poppins" w:cs="Poppins" w:eastAsia="Poppins" w:hAnsi="Poppins"/>
          <w:rtl w:val="0"/>
        </w:rPr>
        <w:t xml:space="preserve">Local Action Group : Structure de gouvernance LEADER en Roumanie qui gère la programmation du développement rural au niveau territorial. LAG Napoca Porolissum est le coordinateur du projet EMPOWER+.</w:t>
      </w:r>
    </w:p>
    <w:p w:rsidR="00000000" w:rsidDel="00000000" w:rsidP="00000000" w:rsidRDefault="00000000" w:rsidRPr="00000000" w14:paraId="000001C5">
      <w:pPr>
        <w:spacing w:after="40" w:before="40" w:lineRule="auto"/>
        <w:jc w:val="both"/>
        <w:rPr>
          <w:rFonts w:ascii="Poppins" w:cs="Poppins" w:eastAsia="Poppins" w:hAnsi="Poppins"/>
          <w:b w:val="1"/>
          <w:bCs w:val="1"/>
          <w:color w:val="2f6b3a"/>
        </w:rPr>
      </w:pPr>
      <w:r w:rsidDel="00000000" w:rsidR="00000000" w:rsidRPr="00000000">
        <w:rPr>
          <w:rFonts w:ascii="Poppins" w:cs="Poppins" w:eastAsia="Poppins" w:hAnsi="Poppins"/>
          <w:b w:val="1"/>
          <w:bCs w:val="1"/>
          <w:color w:val="2f6b3a"/>
          <w:rtl w:val="0"/>
        </w:rPr>
        <w:t xml:space="preserve">LEADER : </w:t>
      </w:r>
      <w:r w:rsidDel="00000000" w:rsidR="00000000" w:rsidRPr="00000000">
        <w:rPr>
          <w:rFonts w:ascii="Poppins" w:cs="Poppins" w:eastAsia="Poppins" w:hAnsi="Poppins"/>
          <w:rtl w:val="0"/>
        </w:rPr>
        <w:t xml:space="preserve">Liaison Entre Actions de Développement de l’Économie Rurale : Approche de développement rural de l’UE fondée sur le développement local mené par les communautés à travers les Groupes d’Action Locale.</w:t>
      </w:r>
      <w:r w:rsidDel="00000000" w:rsidR="00000000" w:rsidRPr="00000000">
        <w:rPr>
          <w:rtl w:val="0"/>
        </w:rPr>
      </w:r>
    </w:p>
    <w:p w:rsidR="00000000" w:rsidDel="00000000" w:rsidP="00000000" w:rsidRDefault="00000000" w:rsidRPr="00000000" w14:paraId="000001C6">
      <w:pPr>
        <w:spacing w:after="40" w:before="40" w:lineRule="auto"/>
        <w:jc w:val="both"/>
        <w:rPr>
          <w:rFonts w:ascii="Poppins" w:cs="Poppins" w:eastAsia="Poppins" w:hAnsi="Poppins"/>
        </w:rPr>
      </w:pPr>
      <w:r w:rsidDel="00000000" w:rsidR="00000000" w:rsidRPr="00000000">
        <w:rPr>
          <w:rFonts w:ascii="Poppins" w:cs="Poppins" w:eastAsia="Poppins" w:hAnsi="Poppins"/>
          <w:b w:val="1"/>
          <w:bCs w:val="1"/>
          <w:color w:val="2f6b3a"/>
          <w:rtl w:val="0"/>
        </w:rPr>
        <w:t xml:space="preserve">LGA :</w:t>
      </w:r>
      <w:r w:rsidDel="00000000" w:rsidR="00000000" w:rsidRPr="00000000">
        <w:rPr>
          <w:rFonts w:ascii="Poppins" w:cs="Poppins" w:eastAsia="Poppins" w:hAnsi="Poppins"/>
          <w:rtl w:val="0"/>
        </w:rPr>
        <w:t xml:space="preserve"> Local Government Area : Unité administrative locale principale au Nigeria, au nombre de 774 au niveau national.</w:t>
      </w:r>
    </w:p>
    <w:p w:rsidR="00000000" w:rsidDel="00000000" w:rsidP="00000000" w:rsidRDefault="00000000" w:rsidRPr="00000000" w14:paraId="000001C7">
      <w:pPr>
        <w:spacing w:after="40" w:before="40" w:lineRule="auto"/>
        <w:jc w:val="both"/>
        <w:rPr>
          <w:rFonts w:ascii="Poppins" w:cs="Poppins" w:eastAsia="Poppins" w:hAnsi="Poppins"/>
        </w:rPr>
      </w:pPr>
      <w:r w:rsidDel="00000000" w:rsidR="00000000" w:rsidRPr="00000000">
        <w:rPr>
          <w:rFonts w:ascii="Poppins" w:cs="Poppins" w:eastAsia="Poppins" w:hAnsi="Poppins"/>
          <w:b w:val="1"/>
          <w:bCs w:val="1"/>
          <w:color w:val="2f6b3a"/>
          <w:rtl w:val="0"/>
        </w:rPr>
        <w:t xml:space="preserve">MFR :</w:t>
      </w:r>
      <w:r w:rsidDel="00000000" w:rsidR="00000000" w:rsidRPr="00000000">
        <w:rPr>
          <w:rFonts w:ascii="Poppins" w:cs="Poppins" w:eastAsia="Poppins" w:hAnsi="Poppins"/>
          <w:rtl w:val="0"/>
        </w:rPr>
        <w:t xml:space="preserve"> Maisons Familiales Rurales : Centres ruraux familiaux de formation offrant des programmes d’éducation professionnelle en alternance à Maurice et en France, entre autres pays.</w:t>
      </w:r>
    </w:p>
    <w:p w:rsidR="00000000" w:rsidDel="00000000" w:rsidP="00000000" w:rsidRDefault="00000000" w:rsidRPr="00000000" w14:paraId="000001C8">
      <w:pPr>
        <w:spacing w:after="40" w:before="40" w:lineRule="auto"/>
        <w:jc w:val="both"/>
        <w:rPr>
          <w:rFonts w:ascii="Poppins" w:cs="Poppins" w:eastAsia="Poppins" w:hAnsi="Poppins"/>
        </w:rPr>
      </w:pPr>
      <w:r w:rsidDel="00000000" w:rsidR="00000000" w:rsidRPr="00000000">
        <w:rPr>
          <w:rFonts w:ascii="Poppins" w:cs="Poppins" w:eastAsia="Poppins" w:hAnsi="Poppins"/>
          <w:b w:val="1"/>
          <w:bCs w:val="1"/>
          <w:color w:val="2f6b3a"/>
          <w:rtl w:val="0"/>
        </w:rPr>
        <w:t xml:space="preserve">MYP : </w:t>
      </w:r>
      <w:r w:rsidDel="00000000" w:rsidR="00000000" w:rsidRPr="00000000">
        <w:rPr>
          <w:rFonts w:ascii="Poppins" w:cs="Poppins" w:eastAsia="Poppins" w:hAnsi="Poppins"/>
          <w:rtl w:val="0"/>
        </w:rPr>
        <w:t xml:space="preserve">Mauritius Youth Parliament : Parlement national biennal des jeunes de Maurice, offrant un forum délibératif aux jeunes âgés de quinze à vingt-quatre ans.</w:t>
      </w:r>
    </w:p>
    <w:p w:rsidR="00000000" w:rsidDel="00000000" w:rsidP="00000000" w:rsidRDefault="00000000" w:rsidRPr="00000000" w14:paraId="000001C9">
      <w:pPr>
        <w:spacing w:after="40" w:before="40" w:lineRule="auto"/>
        <w:jc w:val="both"/>
        <w:rPr>
          <w:rFonts w:ascii="Poppins" w:cs="Poppins" w:eastAsia="Poppins" w:hAnsi="Poppins"/>
          <w:b w:val="1"/>
          <w:bCs w:val="1"/>
          <w:color w:val="2f6b3a"/>
        </w:rPr>
      </w:pPr>
      <w:r w:rsidDel="00000000" w:rsidR="00000000" w:rsidRPr="00000000">
        <w:rPr>
          <w:rFonts w:ascii="Poppins" w:cs="Poppins" w:eastAsia="Poppins" w:hAnsi="Poppins"/>
          <w:b w:val="1"/>
          <w:bCs w:val="1"/>
          <w:color w:val="2f6b3a"/>
          <w:rtl w:val="0"/>
        </w:rPr>
        <w:t xml:space="preserve">NYC : </w:t>
      </w:r>
      <w:r w:rsidDel="00000000" w:rsidR="00000000" w:rsidRPr="00000000">
        <w:rPr>
          <w:rFonts w:ascii="Poppins" w:cs="Poppins" w:eastAsia="Poppins" w:hAnsi="Poppins"/>
          <w:rtl w:val="0"/>
        </w:rPr>
        <w:t xml:space="preserve">National Youth Council (Maurice) : Organe statutaire coordonnant les organisations et programmes de jeunesse dans le cadre du National Youth Council Act (1998).</w:t>
      </w:r>
      <w:r w:rsidDel="00000000" w:rsidR="00000000" w:rsidRPr="00000000">
        <w:rPr>
          <w:rtl w:val="0"/>
        </w:rPr>
      </w:r>
    </w:p>
    <w:p w:rsidR="00000000" w:rsidDel="00000000" w:rsidP="00000000" w:rsidRDefault="00000000" w:rsidRPr="00000000" w14:paraId="000001CA">
      <w:pPr>
        <w:spacing w:after="40" w:before="40" w:lineRule="auto"/>
        <w:jc w:val="both"/>
        <w:rPr>
          <w:rFonts w:ascii="Poppins" w:cs="Poppins" w:eastAsia="Poppins" w:hAnsi="Poppins"/>
        </w:rPr>
      </w:pPr>
      <w:r w:rsidDel="00000000" w:rsidR="00000000" w:rsidRPr="00000000">
        <w:rPr>
          <w:rFonts w:ascii="Poppins" w:cs="Poppins" w:eastAsia="Poppins" w:hAnsi="Poppins"/>
          <w:b w:val="1"/>
          <w:bCs w:val="1"/>
          <w:color w:val="2f6b3a"/>
          <w:rtl w:val="0"/>
        </w:rPr>
        <w:t xml:space="preserve">NYCN :</w:t>
      </w:r>
      <w:r w:rsidDel="00000000" w:rsidR="00000000" w:rsidRPr="00000000">
        <w:rPr>
          <w:rFonts w:ascii="Poppins" w:cs="Poppins" w:eastAsia="Poppins" w:hAnsi="Poppins"/>
          <w:rtl w:val="0"/>
        </w:rPr>
        <w:t xml:space="preserve"> National Youth Council of Nigeria : Principal organe statutaire de représentation des jeunes au Nigeria, avec trente-six sections au niveau des États et 774 branches LGA.</w:t>
      </w:r>
    </w:p>
    <w:p w:rsidR="00000000" w:rsidDel="00000000" w:rsidP="00000000" w:rsidRDefault="00000000" w:rsidRPr="00000000" w14:paraId="000001CB">
      <w:pPr>
        <w:spacing w:after="40" w:before="40" w:lineRule="auto"/>
        <w:jc w:val="both"/>
        <w:rPr>
          <w:rFonts w:ascii="Poppins" w:cs="Poppins" w:eastAsia="Poppins" w:hAnsi="Poppins"/>
        </w:rPr>
      </w:pPr>
      <w:r w:rsidDel="00000000" w:rsidR="00000000" w:rsidRPr="00000000">
        <w:rPr>
          <w:rFonts w:ascii="Poppins" w:cs="Poppins" w:eastAsia="Poppins" w:hAnsi="Poppins"/>
          <w:b w:val="1"/>
          <w:bCs w:val="1"/>
          <w:color w:val="2f6b3a"/>
          <w:rtl w:val="0"/>
        </w:rPr>
        <w:t xml:space="preserve">PCD : </w:t>
      </w:r>
      <w:r w:rsidDel="00000000" w:rsidR="00000000" w:rsidRPr="00000000">
        <w:rPr>
          <w:rFonts w:ascii="Poppins" w:cs="Poppins" w:eastAsia="Poppins" w:hAnsi="Poppins"/>
          <w:rtl w:val="0"/>
        </w:rPr>
        <w:t xml:space="preserve">Plan Communal de Développement (Madagascar) : Plan communal de développement fournissant un cadre formel de planification et de consultation locale au niveau communal.</w:t>
      </w:r>
    </w:p>
    <w:p w:rsidR="00000000" w:rsidDel="00000000" w:rsidP="00000000" w:rsidRDefault="00000000" w:rsidRPr="00000000" w14:paraId="000001CC">
      <w:pPr>
        <w:spacing w:after="40" w:before="40" w:lineRule="auto"/>
        <w:jc w:val="both"/>
        <w:rPr>
          <w:rFonts w:ascii="Poppins" w:cs="Poppins" w:eastAsia="Poppins" w:hAnsi="Poppins"/>
        </w:rPr>
      </w:pPr>
      <w:r w:rsidDel="00000000" w:rsidR="00000000" w:rsidRPr="00000000">
        <w:rPr>
          <w:rFonts w:ascii="Poppins" w:cs="Poppins" w:eastAsia="Poppins" w:hAnsi="Poppins"/>
          <w:b w:val="1"/>
          <w:bCs w:val="1"/>
          <w:color w:val="2f6b3a"/>
          <w:rtl w:val="0"/>
        </w:rPr>
        <w:t xml:space="preserve">PNRR : </w:t>
      </w:r>
      <w:r w:rsidDel="00000000" w:rsidR="00000000" w:rsidRPr="00000000">
        <w:rPr>
          <w:rFonts w:ascii="Poppins" w:cs="Poppins" w:eastAsia="Poppins" w:hAnsi="Poppins"/>
          <w:rtl w:val="0"/>
        </w:rPr>
        <w:t xml:space="preserve">Piano Nazionale di Ripresa e Resilienza (Italie) : Plan national de relance et de résilience italien, fournissant des investissements significatifs dans le développement des zones rurales et intérieures.</w:t>
      </w:r>
    </w:p>
    <w:p w:rsidR="00000000" w:rsidDel="00000000" w:rsidP="00000000" w:rsidRDefault="00000000" w:rsidRPr="00000000" w14:paraId="000001CD">
      <w:pPr>
        <w:spacing w:after="40" w:before="40" w:lineRule="auto"/>
        <w:jc w:val="both"/>
        <w:rPr>
          <w:rFonts w:ascii="Poppins" w:cs="Poppins" w:eastAsia="Poppins" w:hAnsi="Poppins"/>
        </w:rPr>
      </w:pPr>
      <w:r w:rsidDel="00000000" w:rsidR="00000000" w:rsidRPr="00000000">
        <w:rPr>
          <w:rFonts w:ascii="Poppins" w:cs="Poppins" w:eastAsia="Poppins" w:hAnsi="Poppins"/>
          <w:b w:val="1"/>
          <w:bCs w:val="1"/>
          <w:color w:val="2f6b3a"/>
          <w:rtl w:val="0"/>
        </w:rPr>
        <w:t xml:space="preserve">RYC : </w:t>
      </w:r>
      <w:r w:rsidDel="00000000" w:rsidR="00000000" w:rsidRPr="00000000">
        <w:rPr>
          <w:rFonts w:ascii="Poppins" w:cs="Poppins" w:eastAsia="Poppins" w:hAnsi="Poppins"/>
          <w:rtl w:val="0"/>
        </w:rPr>
        <w:t xml:space="preserve">Regional Youth Council (Maurice) : Structures de conseils de jeunes au niveau des districts opérant dans chaque région administrative de Maurice, y compris Rodrigues.</w:t>
      </w:r>
    </w:p>
    <w:p w:rsidR="00000000" w:rsidDel="00000000" w:rsidP="00000000" w:rsidRDefault="00000000" w:rsidRPr="00000000" w14:paraId="000001CE">
      <w:pPr>
        <w:spacing w:after="40" w:before="40" w:lineRule="auto"/>
        <w:jc w:val="both"/>
        <w:rPr>
          <w:rFonts w:ascii="Poppins" w:cs="Poppins" w:eastAsia="Poppins" w:hAnsi="Poppins"/>
        </w:rPr>
      </w:pPr>
      <w:r w:rsidDel="00000000" w:rsidR="00000000" w:rsidRPr="00000000">
        <w:rPr>
          <w:rFonts w:ascii="Poppins" w:cs="Poppins" w:eastAsia="Poppins" w:hAnsi="Poppins"/>
          <w:b w:val="1"/>
          <w:bCs w:val="1"/>
          <w:color w:val="2f6b3a"/>
          <w:rtl w:val="0"/>
        </w:rPr>
        <w:t xml:space="preserve">RYP : </w:t>
      </w:r>
      <w:r w:rsidDel="00000000" w:rsidR="00000000" w:rsidRPr="00000000">
        <w:rPr>
          <w:rFonts w:ascii="Poppins" w:cs="Poppins" w:eastAsia="Poppins" w:hAnsi="Poppins"/>
          <w:rtl w:val="0"/>
        </w:rPr>
        <w:t xml:space="preserve">Rural Youth Parliament : Principal mécanisme de gouvernance participative du projet EMPOWER+, un organe délibératif structuré au niveau infranational permettant aux jeunes ruraux de débattre des questions communautaires, de formuler des propositions et d’interagir avec les décideurs locaux.</w:t>
      </w:r>
    </w:p>
    <w:p w:rsidR="00000000" w:rsidDel="00000000" w:rsidP="00000000" w:rsidRDefault="00000000" w:rsidRPr="00000000" w14:paraId="000001CF">
      <w:pPr>
        <w:spacing w:after="40" w:before="40" w:lineRule="auto"/>
        <w:jc w:val="both"/>
        <w:rPr>
          <w:rFonts w:ascii="Poppins" w:cs="Poppins" w:eastAsia="Poppins" w:hAnsi="Poppins"/>
        </w:rPr>
      </w:pPr>
      <w:r w:rsidDel="00000000" w:rsidR="00000000" w:rsidRPr="00000000">
        <w:rPr>
          <w:rFonts w:ascii="Poppins" w:cs="Poppins" w:eastAsia="Poppins" w:hAnsi="Poppins"/>
          <w:b w:val="1"/>
          <w:bCs w:val="1"/>
          <w:color w:val="2f6b3a"/>
          <w:rtl w:val="0"/>
        </w:rPr>
        <w:t xml:space="preserve">Sarkin Samari : </w:t>
      </w:r>
      <w:r w:rsidDel="00000000" w:rsidR="00000000" w:rsidRPr="00000000">
        <w:rPr>
          <w:rFonts w:ascii="Poppins" w:cs="Poppins" w:eastAsia="Poppins" w:hAnsi="Poppins"/>
          <w:rtl w:val="0"/>
        </w:rPr>
        <w:t xml:space="preserve">Traditional Youth Leadership (Nigeria) : Institution traditionnelle de leadership des jeunes dans le nord du Nigeria fournissant un canal institutionnalisé pour les préoccupations des jeunes au sein du système des conseils émiraux.</w:t>
      </w:r>
    </w:p>
    <w:p w:rsidR="00000000" w:rsidDel="00000000" w:rsidP="00000000" w:rsidRDefault="00000000" w:rsidRPr="00000000" w14:paraId="000001D0">
      <w:pPr>
        <w:spacing w:after="40" w:before="40" w:lineRule="auto"/>
        <w:jc w:val="both"/>
        <w:rPr>
          <w:rFonts w:ascii="Poppins" w:cs="Poppins" w:eastAsia="Poppins" w:hAnsi="Poppins"/>
        </w:rPr>
      </w:pPr>
      <w:r w:rsidDel="00000000" w:rsidR="00000000" w:rsidRPr="00000000">
        <w:rPr>
          <w:rFonts w:ascii="Poppins" w:cs="Poppins" w:eastAsia="Poppins" w:hAnsi="Poppins"/>
          <w:b w:val="1"/>
          <w:bCs w:val="1"/>
          <w:color w:val="2f6b3a"/>
          <w:rtl w:val="0"/>
        </w:rPr>
        <w:t xml:space="preserve">SNAI : </w:t>
      </w:r>
      <w:r w:rsidDel="00000000" w:rsidR="00000000" w:rsidRPr="00000000">
        <w:rPr>
          <w:rFonts w:ascii="Poppins" w:cs="Poppins" w:eastAsia="Poppins" w:hAnsi="Poppins"/>
          <w:rtl w:val="0"/>
        </w:rPr>
        <w:t xml:space="preserve">Strategia Nazionale per le Aree Interne (Italie) : Stratégie nationale pour les zones intérieures, traitant des territoires ruraux et marginalisés à travers des approches intégrées de développement territorial.</w:t>
      </w:r>
    </w:p>
    <w:p w:rsidR="00000000" w:rsidDel="00000000" w:rsidP="00000000" w:rsidRDefault="00000000" w:rsidRPr="00000000" w14:paraId="000001D1">
      <w:pPr>
        <w:spacing w:after="40" w:before="40" w:lineRule="auto"/>
        <w:jc w:val="both"/>
        <w:rPr>
          <w:rFonts w:ascii="Poppins" w:cs="Poppins" w:eastAsia="Poppins" w:hAnsi="Poppins"/>
        </w:rPr>
      </w:pPr>
      <w:r w:rsidDel="00000000" w:rsidR="00000000" w:rsidRPr="00000000">
        <w:rPr>
          <w:rFonts w:ascii="Poppins" w:cs="Poppins" w:eastAsia="Poppins" w:hAnsi="Poppins"/>
          <w:b w:val="1"/>
          <w:bCs w:val="1"/>
          <w:color w:val="2f6b3a"/>
          <w:rtl w:val="0"/>
        </w:rPr>
        <w:t xml:space="preserve">SSPL : </w:t>
      </w:r>
      <w:r w:rsidDel="00000000" w:rsidR="00000000" w:rsidRPr="00000000">
        <w:rPr>
          <w:rFonts w:ascii="Poppins" w:cs="Poppins" w:eastAsia="Poppins" w:hAnsi="Poppins"/>
          <w:rtl w:val="0"/>
        </w:rPr>
        <w:t xml:space="preserve">System Strategy and Policy Lab : Organisation partenaire nigériane dans EMPOWER+, fournissant une expertise en recherche sur les politiques publiques et en gouvernance des jeunes.</w:t>
      </w:r>
    </w:p>
    <w:p w:rsidR="00000000" w:rsidDel="00000000" w:rsidP="00000000" w:rsidRDefault="00000000" w:rsidRPr="00000000" w14:paraId="000001D2">
      <w:pPr>
        <w:spacing w:after="40" w:before="40" w:lineRule="auto"/>
        <w:jc w:val="both"/>
        <w:rPr>
          <w:rFonts w:ascii="Poppins" w:cs="Poppins" w:eastAsia="Poppins" w:hAnsi="Poppins"/>
        </w:rPr>
      </w:pPr>
      <w:r w:rsidDel="00000000" w:rsidR="00000000" w:rsidRPr="00000000">
        <w:rPr>
          <w:rFonts w:ascii="Poppins" w:cs="Poppins" w:eastAsia="Poppins" w:hAnsi="Poppins"/>
          <w:b w:val="1"/>
          <w:bCs w:val="1"/>
          <w:color w:val="2f6b3a"/>
          <w:rtl w:val="0"/>
        </w:rPr>
        <w:t xml:space="preserve">SSA : </w:t>
      </w:r>
      <w:r w:rsidDel="00000000" w:rsidR="00000000" w:rsidRPr="00000000">
        <w:rPr>
          <w:rFonts w:ascii="Poppins" w:cs="Poppins" w:eastAsia="Poppins" w:hAnsi="Poppins"/>
          <w:rtl w:val="0"/>
        </w:rPr>
        <w:t xml:space="preserve">Afrique subsaharienne : Désignation géographique utilisée tout au long de ce rapport pour désigner les quatre pays partenaires africains : Botswana, Madagascar, Maurice et Nigeria.</w:t>
      </w:r>
    </w:p>
    <w:p w:rsidR="00000000" w:rsidDel="00000000" w:rsidP="00000000" w:rsidRDefault="00000000" w:rsidRPr="00000000" w14:paraId="000001D3">
      <w:pPr>
        <w:spacing w:after="40" w:before="40" w:lineRule="auto"/>
        <w:jc w:val="both"/>
        <w:rPr>
          <w:rFonts w:ascii="Poppins" w:cs="Poppins" w:eastAsia="Poppins" w:hAnsi="Poppins"/>
          <w:b w:val="1"/>
          <w:bCs w:val="1"/>
          <w:color w:val="2f6b3a"/>
        </w:rPr>
      </w:pPr>
      <w:r w:rsidDel="00000000" w:rsidR="00000000" w:rsidRPr="00000000">
        <w:rPr>
          <w:rFonts w:ascii="Poppins" w:cs="Poppins" w:eastAsia="Poppins" w:hAnsi="Poppins"/>
          <w:b w:val="1"/>
          <w:bCs w:val="1"/>
          <w:color w:val="2f6b3a"/>
          <w:rtl w:val="0"/>
        </w:rPr>
        <w:t xml:space="preserve">TIDC : </w:t>
      </w:r>
      <w:r w:rsidDel="00000000" w:rsidR="00000000" w:rsidRPr="00000000">
        <w:rPr>
          <w:rFonts w:ascii="Poppins" w:cs="Poppins" w:eastAsia="Poppins" w:hAnsi="Poppins"/>
          <w:rtl w:val="0"/>
        </w:rPr>
        <w:t xml:space="preserve">Tlokweng District Council : Partenaire de gouvernement local du Botswana dans EMPOWER+.</w:t>
      </w:r>
      <w:r w:rsidDel="00000000" w:rsidR="00000000" w:rsidRPr="00000000">
        <w:rPr>
          <w:rtl w:val="0"/>
        </w:rPr>
      </w:r>
    </w:p>
    <w:p w:rsidR="00000000" w:rsidDel="00000000" w:rsidP="00000000" w:rsidRDefault="00000000" w:rsidRPr="00000000" w14:paraId="000001D4">
      <w:pPr>
        <w:spacing w:after="40" w:before="40" w:lineRule="auto"/>
        <w:jc w:val="both"/>
        <w:rPr>
          <w:rFonts w:ascii="Poppins" w:cs="Poppins" w:eastAsia="Poppins" w:hAnsi="Poppins"/>
        </w:rPr>
      </w:pPr>
      <w:r w:rsidDel="00000000" w:rsidR="00000000" w:rsidRPr="00000000">
        <w:rPr>
          <w:rFonts w:ascii="Poppins" w:cs="Poppins" w:eastAsia="Poppins" w:hAnsi="Poppins"/>
          <w:b w:val="1"/>
          <w:bCs w:val="1"/>
          <w:color w:val="2f6b3a"/>
          <w:rtl w:val="0"/>
        </w:rPr>
        <w:t xml:space="preserve">VDC : </w:t>
      </w:r>
      <w:r w:rsidDel="00000000" w:rsidR="00000000" w:rsidRPr="00000000">
        <w:rPr>
          <w:rFonts w:ascii="Poppins" w:cs="Poppins" w:eastAsia="Poppins" w:hAnsi="Poppins"/>
          <w:rtl w:val="0"/>
        </w:rPr>
        <w:t xml:space="preserve">Village Development Committee (Botswana) : Structure de gouvernance communautaire sous-districtuelle fournissant un mécanisme formel de consultation au niveau du village.</w:t>
      </w:r>
    </w:p>
    <w:p w:rsidR="00000000" w:rsidDel="00000000" w:rsidP="00000000" w:rsidRDefault="00000000" w:rsidRPr="00000000" w14:paraId="000001D5">
      <w:pPr>
        <w:spacing w:after="40" w:before="40" w:lineRule="auto"/>
        <w:jc w:val="both"/>
        <w:rPr>
          <w:rFonts w:ascii="Poppins" w:cs="Poppins" w:eastAsia="Poppins" w:hAnsi="Poppins"/>
        </w:rPr>
      </w:pPr>
      <w:r w:rsidDel="00000000" w:rsidR="00000000" w:rsidRPr="00000000">
        <w:rPr>
          <w:rFonts w:ascii="Poppins" w:cs="Poppins" w:eastAsia="Poppins" w:hAnsi="Poppins"/>
          <w:b w:val="1"/>
          <w:bCs w:val="1"/>
          <w:color w:val="2f6b3a"/>
          <w:rtl w:val="0"/>
        </w:rPr>
        <w:t xml:space="preserve">WDC : </w:t>
      </w:r>
      <w:r w:rsidDel="00000000" w:rsidR="00000000" w:rsidRPr="00000000">
        <w:rPr>
          <w:rFonts w:ascii="Poppins" w:cs="Poppins" w:eastAsia="Poppins" w:hAnsi="Poppins"/>
          <w:rtl w:val="0"/>
        </w:rPr>
        <w:t xml:space="preserve">Ward Development Committee (Nigeria) : Structure de gouvernance communautaire sous-LGA.</w:t>
      </w:r>
    </w:p>
    <w:p w:rsidR="00000000" w:rsidDel="00000000" w:rsidP="00000000" w:rsidRDefault="00000000" w:rsidRPr="00000000" w14:paraId="000001D6">
      <w:pPr>
        <w:spacing w:after="40" w:before="40" w:lineRule="auto"/>
        <w:jc w:val="both"/>
        <w:rPr>
          <w:rFonts w:ascii="Poppins" w:cs="Poppins" w:eastAsia="Poppins" w:hAnsi="Poppins"/>
        </w:rPr>
      </w:pPr>
      <w:r w:rsidDel="00000000" w:rsidR="00000000" w:rsidRPr="00000000">
        <w:rPr>
          <w:rFonts w:ascii="Poppins" w:cs="Poppins" w:eastAsia="Poppins" w:hAnsi="Poppins"/>
          <w:b w:val="1"/>
          <w:bCs w:val="1"/>
          <w:color w:val="2f6b3a"/>
          <w:rtl w:val="0"/>
        </w:rPr>
        <w:t xml:space="preserve">WP2 : Work Package 2 (EMPOWER+) : </w:t>
      </w:r>
      <w:r w:rsidDel="00000000" w:rsidR="00000000" w:rsidRPr="00000000">
        <w:rPr>
          <w:rFonts w:ascii="Poppins" w:cs="Poppins" w:eastAsia="Poppins" w:hAnsi="Poppins"/>
          <w:rtl w:val="0"/>
        </w:rPr>
        <w:t xml:space="preserve">Youth Policy Framework, le work package pour lequel ce rapport constitue le principal livrable (D2.1).</w:t>
      </w:r>
    </w:p>
    <w:p w:rsidR="00000000" w:rsidDel="00000000" w:rsidP="00000000" w:rsidRDefault="00000000" w:rsidRPr="00000000" w14:paraId="000001D7">
      <w:pPr>
        <w:spacing w:after="40" w:before="40" w:lineRule="auto"/>
        <w:jc w:val="both"/>
        <w:rPr>
          <w:rFonts w:ascii="Poppins" w:cs="Poppins" w:eastAsia="Poppins" w:hAnsi="Poppins"/>
        </w:rPr>
      </w:pPr>
      <w:r w:rsidDel="00000000" w:rsidR="00000000" w:rsidRPr="00000000">
        <w:rPr>
          <w:rFonts w:ascii="Poppins" w:cs="Poppins" w:eastAsia="Poppins" w:hAnsi="Poppins"/>
          <w:b w:val="1"/>
          <w:bCs w:val="1"/>
          <w:color w:val="2f6b3a"/>
          <w:rtl w:val="0"/>
        </w:rPr>
        <w:t xml:space="preserve">YEPP :</w:t>
      </w:r>
      <w:r w:rsidDel="00000000" w:rsidR="00000000" w:rsidRPr="00000000">
        <w:rPr>
          <w:rFonts w:ascii="Poppins" w:cs="Poppins" w:eastAsia="Poppins" w:hAnsi="Poppins"/>
          <w:rtl w:val="0"/>
        </w:rPr>
        <w:t xml:space="preserve"> Youth Empowerment Partnership Programme (Italie) : Programme international soutenant l’autonomisation des jeunes dans les communautés défavorisées à travers des Groupes de soutien locaux dotés d’une véritable autorité budgétaire et d’un investissement relationnel à long terme.</w:t>
      </w:r>
    </w:p>
    <w:p w:rsidR="00000000" w:rsidDel="00000000" w:rsidP="00000000" w:rsidRDefault="00000000" w:rsidRPr="00000000" w14:paraId="000001D8">
      <w:pPr>
        <w:spacing w:after="40" w:before="40" w:lineRule="auto"/>
        <w:jc w:val="both"/>
        <w:rPr>
          <w:rFonts w:ascii="Poppins" w:cs="Poppins" w:eastAsia="Poppins" w:hAnsi="Poppins"/>
        </w:rPr>
      </w:pPr>
      <w:r w:rsidDel="00000000" w:rsidR="00000000" w:rsidRPr="00000000">
        <w:rPr>
          <w:rFonts w:ascii="Poppins" w:cs="Poppins" w:eastAsia="Poppins" w:hAnsi="Poppins"/>
          <w:b w:val="1"/>
          <w:bCs w:val="1"/>
          <w:color w:val="2f6b3a"/>
          <w:rtl w:val="0"/>
        </w:rPr>
        <w:t xml:space="preserve">YDF : </w:t>
      </w:r>
      <w:r w:rsidDel="00000000" w:rsidR="00000000" w:rsidRPr="00000000">
        <w:rPr>
          <w:rFonts w:ascii="Poppins" w:cs="Poppins" w:eastAsia="Poppins" w:hAnsi="Poppins"/>
          <w:rtl w:val="0"/>
        </w:rPr>
        <w:t xml:space="preserve">Youth Development Fund (Botswana) : Mécanisme public de financement soutenant le développement entrepreneurial des jeunes.</w:t>
      </w:r>
    </w:p>
    <w:p w:rsidR="00000000" w:rsidDel="00000000" w:rsidP="00000000" w:rsidRDefault="00000000" w:rsidRPr="00000000" w14:paraId="000001D9">
      <w:pPr>
        <w:spacing w:after="40" w:before="40" w:lineRule="auto"/>
        <w:jc w:val="both"/>
        <w:rPr>
          <w:rFonts w:ascii="Poppins" w:cs="Poppins" w:eastAsia="Poppins" w:hAnsi="Poppins"/>
          <w:b w:val="1"/>
          <w:bCs w:val="1"/>
          <w:color w:val="2f6b3a"/>
        </w:rPr>
      </w:pPr>
      <w:r w:rsidDel="00000000" w:rsidR="00000000" w:rsidRPr="00000000">
        <w:rPr>
          <w:rFonts w:ascii="Poppins" w:cs="Poppins" w:eastAsia="Poppins" w:hAnsi="Poppins"/>
          <w:b w:val="1"/>
          <w:bCs w:val="1"/>
          <w:color w:val="2f6b3a"/>
          <w:rtl w:val="0"/>
        </w:rPr>
        <w:t xml:space="preserve">YUVA : </w:t>
      </w:r>
      <w:r w:rsidDel="00000000" w:rsidR="00000000" w:rsidRPr="00000000">
        <w:rPr>
          <w:rFonts w:ascii="Poppins" w:cs="Poppins" w:eastAsia="Poppins" w:hAnsi="Poppins"/>
          <w:rtl w:val="0"/>
        </w:rPr>
        <w:t xml:space="preserve">Youth United in Voluntary Action : Organisation non gouvernementale mauricienne ciblant les jeunes ruraux à travers son Rural Youth Empowerment Project, combinant formation au leadership, microfinancement et engagement civique.</w:t>
      </w:r>
      <w:r w:rsidDel="00000000" w:rsidR="00000000" w:rsidRPr="00000000">
        <w:rPr>
          <w:rtl w:val="0"/>
        </w:rPr>
      </w:r>
    </w:p>
    <w:p w:rsidR="00000000" w:rsidDel="00000000" w:rsidP="00000000" w:rsidRDefault="00000000" w:rsidRPr="00000000" w14:paraId="000001DA">
      <w:pPr>
        <w:spacing w:after="40" w:before="40" w:lineRule="auto"/>
        <w:jc w:val="both"/>
        <w:rPr>
          <w:rFonts w:ascii="Poppins" w:cs="Poppins" w:eastAsia="Poppins" w:hAnsi="Poppins"/>
        </w:rPr>
      </w:pPr>
      <w:r w:rsidDel="00000000" w:rsidR="00000000" w:rsidRPr="00000000">
        <w:br w:type="page"/>
      </w:r>
      <w:r w:rsidDel="00000000" w:rsidR="00000000" w:rsidRPr="00000000">
        <w:rPr>
          <w:rtl w:val="0"/>
        </w:rPr>
      </w:r>
    </w:p>
    <w:p w:rsidR="00000000" w:rsidDel="00000000" w:rsidP="00000000" w:rsidRDefault="00000000" w:rsidRPr="00000000" w14:paraId="000001DB">
      <w:pPr>
        <w:pStyle w:val="Heading1"/>
        <w:keepNext w:val="1"/>
        <w:spacing w:after="120" w:before="360" w:lineRule="auto"/>
        <w:rPr>
          <w:rFonts w:ascii="Poppins" w:cs="Poppins" w:eastAsia="Poppins" w:hAnsi="Poppins"/>
          <w:color w:val="2f6b3a"/>
        </w:rPr>
      </w:pPr>
      <w:r w:rsidDel="00000000" w:rsidR="00000000" w:rsidRPr="00000000">
        <w:rPr>
          <w:rFonts w:ascii="Poppins" w:cs="Poppins" w:eastAsia="Poppins" w:hAnsi="Poppins"/>
          <w:color w:val="2f6b3a"/>
          <w:rtl w:val="0"/>
        </w:rPr>
        <w:t xml:space="preserve">Bibliographie</w:t>
      </w:r>
    </w:p>
    <w:p w:rsidR="00000000" w:rsidDel="00000000" w:rsidP="00000000" w:rsidRDefault="00000000" w:rsidRPr="00000000" w14:paraId="000001DC">
      <w:pPr>
        <w:pStyle w:val="Heading2"/>
        <w:keepNext w:val="1"/>
        <w:spacing w:after="80" w:before="280" w:lineRule="auto"/>
        <w:jc w:val="both"/>
        <w:rPr>
          <w:rFonts w:ascii="Poppins" w:cs="Poppins" w:eastAsia="Poppins" w:hAnsi="Poppins"/>
          <w:b w:val="0"/>
          <w:bCs w:val="0"/>
          <w:color w:val="1a1a1a"/>
          <w:sz w:val="22"/>
          <w:szCs w:val="22"/>
        </w:rPr>
      </w:pPr>
      <w:bookmarkStart w:colFirst="0" w:colLast="0" w:name="_heading=h.s0hmuyreh4kt" w:id="43"/>
      <w:bookmarkEnd w:id="43"/>
      <w:r w:rsidDel="00000000" w:rsidR="00000000" w:rsidRPr="00000000">
        <w:rPr>
          <w:rFonts w:ascii="Poppins" w:cs="Poppins" w:eastAsia="Poppins" w:hAnsi="Poppins"/>
          <w:b w:val="0"/>
          <w:bCs w:val="0"/>
          <w:color w:val="1a1a1a"/>
          <w:sz w:val="22"/>
          <w:szCs w:val="22"/>
          <w:rtl w:val="0"/>
        </w:rPr>
        <w:t xml:space="preserve">Les références suivantes incluent les documents sources primaires produits dans le cadre des Tâches 2.1 et 2.2 du projet EMPOWER+, les principaux cadres politiques mentionnés tout au long de l’analyse, ainsi qu’une sélection de littérature académique et institutionnelle informant le cadre comparatif.</w:t>
      </w:r>
    </w:p>
    <w:p w:rsidR="00000000" w:rsidDel="00000000" w:rsidP="00000000" w:rsidRDefault="00000000" w:rsidRPr="00000000" w14:paraId="000001DD">
      <w:pPr>
        <w:pStyle w:val="Heading2"/>
        <w:keepNext w:val="1"/>
        <w:spacing w:after="80" w:before="280" w:lineRule="auto"/>
        <w:rPr>
          <w:rFonts w:ascii="Poppins" w:cs="Poppins" w:eastAsia="Poppins" w:hAnsi="Poppins"/>
          <w:color w:val="b7c3a1"/>
        </w:rPr>
      </w:pPr>
      <w:r w:rsidDel="00000000" w:rsidR="00000000" w:rsidRPr="00000000">
        <w:rPr>
          <w:rFonts w:ascii="Poppins" w:cs="Poppins" w:eastAsia="Poppins" w:hAnsi="Poppins"/>
          <w:color w:val="b7c3a1"/>
          <w:rtl w:val="0"/>
        </w:rPr>
        <w:t xml:space="preserve">Sources primaires : Rapports nationaux EMPOWER+</w:t>
      </w:r>
    </w:p>
    <w:p w:rsidR="00000000" w:rsidDel="00000000" w:rsidP="00000000" w:rsidRDefault="00000000" w:rsidRPr="00000000" w14:paraId="000001DE">
      <w:pPr>
        <w:spacing w:after="60" w:before="40" w:lineRule="auto"/>
        <w:ind w:left="720" w:hanging="720"/>
        <w:jc w:val="both"/>
        <w:rPr>
          <w:rFonts w:ascii="Poppins" w:cs="Poppins" w:eastAsia="Poppins" w:hAnsi="Poppins"/>
          <w:color w:val="1a1a1a"/>
        </w:rPr>
      </w:pPr>
      <w:r w:rsidDel="00000000" w:rsidR="00000000" w:rsidRPr="00000000">
        <w:rPr>
          <w:rFonts w:ascii="Poppins" w:cs="Poppins" w:eastAsia="Poppins" w:hAnsi="Poppins"/>
          <w:color w:val="1a1a1a"/>
          <w:rtl w:val="0"/>
        </w:rPr>
        <w:t xml:space="preserve">Joint Minds Consult and Tlokweng District Council (2025). EMPOWER+ Task 2.1 Country Report: Botswana. EMPOWER+ Consortium.</w:t>
      </w:r>
    </w:p>
    <w:p w:rsidR="00000000" w:rsidDel="00000000" w:rsidP="00000000" w:rsidRDefault="00000000" w:rsidRPr="00000000" w14:paraId="000001DF">
      <w:pPr>
        <w:spacing w:after="60" w:before="40" w:lineRule="auto"/>
        <w:ind w:left="720" w:hanging="720"/>
        <w:jc w:val="both"/>
        <w:rPr>
          <w:rFonts w:ascii="Poppins" w:cs="Poppins" w:eastAsia="Poppins" w:hAnsi="Poppins"/>
          <w:color w:val="1a1a1a"/>
        </w:rPr>
      </w:pPr>
      <w:r w:rsidDel="00000000" w:rsidR="00000000" w:rsidRPr="00000000">
        <w:rPr>
          <w:rFonts w:ascii="Poppins" w:cs="Poppins" w:eastAsia="Poppins" w:hAnsi="Poppins"/>
          <w:color w:val="1a1a1a"/>
          <w:rtl w:val="0"/>
        </w:rPr>
        <w:t xml:space="preserve">Joint Minds Consult and Tlokweng District Council (2026). EMPOWER+ Task 2.2 Country Report: Botswana. EMPOWER+ Consortium.</w:t>
      </w:r>
    </w:p>
    <w:p w:rsidR="00000000" w:rsidDel="00000000" w:rsidP="00000000" w:rsidRDefault="00000000" w:rsidRPr="00000000" w14:paraId="000001E0">
      <w:pPr>
        <w:spacing w:after="60" w:before="40" w:lineRule="auto"/>
        <w:ind w:left="720" w:hanging="720"/>
        <w:jc w:val="both"/>
        <w:rPr>
          <w:rFonts w:ascii="Poppins" w:cs="Poppins" w:eastAsia="Poppins" w:hAnsi="Poppins"/>
          <w:color w:val="1a1a1a"/>
        </w:rPr>
      </w:pPr>
      <w:r w:rsidDel="00000000" w:rsidR="00000000" w:rsidRPr="00000000">
        <w:rPr>
          <w:rFonts w:ascii="Poppins" w:cs="Poppins" w:eastAsia="Poppins" w:hAnsi="Poppins"/>
          <w:color w:val="1a1a1a"/>
          <w:rtl w:val="0"/>
        </w:rPr>
        <w:t xml:space="preserve">Centres d'Entraînement aux Méthodes d'Éducation Active de Madagascar (2025). EMPOWER+ Task 2.1 Country Report: Madagascar. EMPOWER+ Consortium.</w:t>
      </w:r>
    </w:p>
    <w:p w:rsidR="00000000" w:rsidDel="00000000" w:rsidP="00000000" w:rsidRDefault="00000000" w:rsidRPr="00000000" w14:paraId="000001E1">
      <w:pPr>
        <w:spacing w:after="60" w:before="40" w:lineRule="auto"/>
        <w:ind w:left="720" w:hanging="720"/>
        <w:jc w:val="both"/>
        <w:rPr>
          <w:rFonts w:ascii="Poppins" w:cs="Poppins" w:eastAsia="Poppins" w:hAnsi="Poppins"/>
          <w:color w:val="1a1a1a"/>
        </w:rPr>
      </w:pPr>
      <w:r w:rsidDel="00000000" w:rsidR="00000000" w:rsidRPr="00000000">
        <w:rPr>
          <w:rFonts w:ascii="Poppins" w:cs="Poppins" w:eastAsia="Poppins" w:hAnsi="Poppins"/>
          <w:color w:val="1a1a1a"/>
          <w:rtl w:val="0"/>
        </w:rPr>
        <w:t xml:space="preserve">Centres d'Entraînement aux Méthodes d'Éducation Active de Madagascar (2026). EMPOWER+ Task 2.2 Country Report: Madagascar. EMPOWER+ Consortium.</w:t>
      </w:r>
    </w:p>
    <w:p w:rsidR="00000000" w:rsidDel="00000000" w:rsidP="00000000" w:rsidRDefault="00000000" w:rsidRPr="00000000" w14:paraId="000001E2">
      <w:pPr>
        <w:spacing w:after="60" w:before="40" w:lineRule="auto"/>
        <w:ind w:left="720" w:hanging="720"/>
        <w:jc w:val="both"/>
        <w:rPr>
          <w:rFonts w:ascii="Poppins" w:cs="Poppins" w:eastAsia="Poppins" w:hAnsi="Poppins"/>
          <w:color w:val="1a1a1a"/>
        </w:rPr>
      </w:pPr>
      <w:r w:rsidDel="00000000" w:rsidR="00000000" w:rsidRPr="00000000">
        <w:rPr>
          <w:rFonts w:ascii="Poppins" w:cs="Poppins" w:eastAsia="Poppins" w:hAnsi="Poppins"/>
          <w:color w:val="1a1a1a"/>
          <w:rtl w:val="0"/>
        </w:rPr>
        <w:t xml:space="preserve">Fédération des Maisons Familiales Rurales de Maurice et Rodrigues (2025). EMPOWER+ Task 2.1 Country Report: Mauritius. EMPOWER+ Consortium.</w:t>
      </w:r>
    </w:p>
    <w:p w:rsidR="00000000" w:rsidDel="00000000" w:rsidP="00000000" w:rsidRDefault="00000000" w:rsidRPr="00000000" w14:paraId="000001E3">
      <w:pPr>
        <w:spacing w:after="60" w:before="40" w:lineRule="auto"/>
        <w:ind w:left="720" w:hanging="720"/>
        <w:jc w:val="both"/>
        <w:rPr>
          <w:rFonts w:ascii="Poppins" w:cs="Poppins" w:eastAsia="Poppins" w:hAnsi="Poppins"/>
          <w:color w:val="1a1a1a"/>
        </w:rPr>
      </w:pPr>
      <w:r w:rsidDel="00000000" w:rsidR="00000000" w:rsidRPr="00000000">
        <w:rPr>
          <w:rFonts w:ascii="Poppins" w:cs="Poppins" w:eastAsia="Poppins" w:hAnsi="Poppins"/>
          <w:color w:val="1a1a1a"/>
          <w:rtl w:val="0"/>
        </w:rPr>
        <w:t xml:space="preserve">Fédération des Maisons Familiales Rurales de Maurice et Rodrigues (2026). EMPOWER+ Task 2.2 Country Report: Mauritius. EMPOWER+ Consortium.</w:t>
      </w:r>
    </w:p>
    <w:p w:rsidR="00000000" w:rsidDel="00000000" w:rsidP="00000000" w:rsidRDefault="00000000" w:rsidRPr="00000000" w14:paraId="000001E4">
      <w:pPr>
        <w:spacing w:after="60" w:before="40" w:lineRule="auto"/>
        <w:ind w:left="720" w:hanging="720"/>
        <w:jc w:val="both"/>
        <w:rPr>
          <w:rFonts w:ascii="Poppins" w:cs="Poppins" w:eastAsia="Poppins" w:hAnsi="Poppins"/>
          <w:color w:val="1a1a1a"/>
        </w:rPr>
      </w:pPr>
      <w:r w:rsidDel="00000000" w:rsidR="00000000" w:rsidRPr="00000000">
        <w:rPr>
          <w:rFonts w:ascii="Poppins" w:cs="Poppins" w:eastAsia="Poppins" w:hAnsi="Poppins"/>
          <w:color w:val="1a1a1a"/>
          <w:rtl w:val="0"/>
        </w:rPr>
        <w:t xml:space="preserve">System Strategy and Policy Lab (2025). EMPOWER+ Task 2.1 Country Report: Nigeria. EMPOWER+ Consortium.</w:t>
      </w:r>
    </w:p>
    <w:p w:rsidR="00000000" w:rsidDel="00000000" w:rsidP="00000000" w:rsidRDefault="00000000" w:rsidRPr="00000000" w14:paraId="000001E5">
      <w:pPr>
        <w:spacing w:after="60" w:before="40" w:lineRule="auto"/>
        <w:ind w:left="720" w:hanging="720"/>
        <w:jc w:val="both"/>
        <w:rPr>
          <w:rFonts w:ascii="Poppins" w:cs="Poppins" w:eastAsia="Poppins" w:hAnsi="Poppins"/>
          <w:color w:val="1a1a1a"/>
        </w:rPr>
      </w:pPr>
      <w:r w:rsidDel="00000000" w:rsidR="00000000" w:rsidRPr="00000000">
        <w:rPr>
          <w:rFonts w:ascii="Poppins" w:cs="Poppins" w:eastAsia="Poppins" w:hAnsi="Poppins"/>
          <w:color w:val="1a1a1a"/>
          <w:rtl w:val="0"/>
        </w:rPr>
        <w:t xml:space="preserve">System Strategy and Policy Lab (2026). EMPOWER+ Task 2.2 Country Report: Nigeria. EMPOWER+ Consortium.</w:t>
      </w:r>
    </w:p>
    <w:p w:rsidR="00000000" w:rsidDel="00000000" w:rsidP="00000000" w:rsidRDefault="00000000" w:rsidRPr="00000000" w14:paraId="000001E6">
      <w:pPr>
        <w:spacing w:after="60" w:before="40" w:lineRule="auto"/>
        <w:ind w:left="720" w:hanging="720"/>
        <w:jc w:val="both"/>
        <w:rPr>
          <w:rFonts w:ascii="Poppins" w:cs="Poppins" w:eastAsia="Poppins" w:hAnsi="Poppins"/>
          <w:color w:val="1a1a1a"/>
        </w:rPr>
      </w:pPr>
      <w:r w:rsidDel="00000000" w:rsidR="00000000" w:rsidRPr="00000000">
        <w:rPr>
          <w:rFonts w:ascii="Poppins" w:cs="Poppins" w:eastAsia="Poppins" w:hAnsi="Poppins"/>
          <w:color w:val="1a1a1a"/>
          <w:rtl w:val="0"/>
        </w:rPr>
        <w:t xml:space="preserve">Connectus (2025). EMPOWER+ Task 2.1 Country Report: Greece. EMPOWER+ Consortium.</w:t>
      </w:r>
    </w:p>
    <w:p w:rsidR="00000000" w:rsidDel="00000000" w:rsidP="00000000" w:rsidRDefault="00000000" w:rsidRPr="00000000" w14:paraId="000001E7">
      <w:pPr>
        <w:spacing w:after="60" w:before="40" w:lineRule="auto"/>
        <w:ind w:left="720" w:hanging="720"/>
        <w:jc w:val="both"/>
        <w:rPr>
          <w:rFonts w:ascii="Poppins" w:cs="Poppins" w:eastAsia="Poppins" w:hAnsi="Poppins"/>
          <w:color w:val="1a1a1a"/>
        </w:rPr>
      </w:pPr>
      <w:r w:rsidDel="00000000" w:rsidR="00000000" w:rsidRPr="00000000">
        <w:rPr>
          <w:rFonts w:ascii="Poppins" w:cs="Poppins" w:eastAsia="Poppins" w:hAnsi="Poppins"/>
          <w:color w:val="1a1a1a"/>
          <w:rtl w:val="0"/>
        </w:rPr>
        <w:t xml:space="preserve">Connectus (2026). EMPOWER+ Task 2.2 Country Report: Greece. EMPOWER+ Consortium.</w:t>
      </w:r>
    </w:p>
    <w:p w:rsidR="00000000" w:rsidDel="00000000" w:rsidP="00000000" w:rsidRDefault="00000000" w:rsidRPr="00000000" w14:paraId="000001E8">
      <w:pPr>
        <w:spacing w:after="60" w:before="40" w:lineRule="auto"/>
        <w:ind w:left="720" w:hanging="720"/>
        <w:jc w:val="both"/>
        <w:rPr>
          <w:rFonts w:ascii="Poppins" w:cs="Poppins" w:eastAsia="Poppins" w:hAnsi="Poppins"/>
          <w:color w:val="1a1a1a"/>
        </w:rPr>
      </w:pPr>
      <w:r w:rsidDel="00000000" w:rsidR="00000000" w:rsidRPr="00000000">
        <w:rPr>
          <w:rFonts w:ascii="Poppins" w:cs="Poppins" w:eastAsia="Poppins" w:hAnsi="Poppins"/>
          <w:color w:val="1a1a1a"/>
          <w:rtl w:val="0"/>
        </w:rPr>
        <w:t xml:space="preserve">A Rocca (2025). EMPOWER+ Task 2.1 Country Report: Italy. EMPOWER+ Consortium.</w:t>
      </w:r>
    </w:p>
    <w:p w:rsidR="00000000" w:rsidDel="00000000" w:rsidP="00000000" w:rsidRDefault="00000000" w:rsidRPr="00000000" w14:paraId="000001E9">
      <w:pPr>
        <w:spacing w:after="60" w:before="40" w:lineRule="auto"/>
        <w:ind w:left="720" w:hanging="720"/>
        <w:jc w:val="both"/>
        <w:rPr>
          <w:rFonts w:ascii="Poppins" w:cs="Poppins" w:eastAsia="Poppins" w:hAnsi="Poppins"/>
          <w:color w:val="1a1a1a"/>
        </w:rPr>
      </w:pPr>
      <w:r w:rsidDel="00000000" w:rsidR="00000000" w:rsidRPr="00000000">
        <w:rPr>
          <w:rFonts w:ascii="Poppins" w:cs="Poppins" w:eastAsia="Poppins" w:hAnsi="Poppins"/>
          <w:color w:val="1a1a1a"/>
          <w:rtl w:val="0"/>
        </w:rPr>
        <w:t xml:space="preserve">A Rocca (2026). EMPOWER+ Task 2.2 Country Report: Italy. EMPOWER+ Consortium.</w:t>
      </w:r>
    </w:p>
    <w:p w:rsidR="00000000" w:rsidDel="00000000" w:rsidP="00000000" w:rsidRDefault="00000000" w:rsidRPr="00000000" w14:paraId="000001EA">
      <w:pPr>
        <w:spacing w:after="60" w:before="40" w:lineRule="auto"/>
        <w:ind w:left="720" w:hanging="720"/>
        <w:jc w:val="both"/>
        <w:rPr>
          <w:rFonts w:ascii="Poppins" w:cs="Poppins" w:eastAsia="Poppins" w:hAnsi="Poppins"/>
          <w:color w:val="1a1a1a"/>
        </w:rPr>
      </w:pPr>
      <w:r w:rsidDel="00000000" w:rsidR="00000000" w:rsidRPr="00000000">
        <w:rPr>
          <w:rFonts w:ascii="Poppins" w:cs="Poppins" w:eastAsia="Poppins" w:hAnsi="Poppins"/>
          <w:color w:val="1a1a1a"/>
          <w:rtl w:val="0"/>
        </w:rPr>
        <w:t xml:space="preserve">LAG Napoca Porolissum (2025). EMPOWER+ Task 2.1 Country Report: Romania. EMPOWER+ Consortium.</w:t>
      </w:r>
    </w:p>
    <w:p w:rsidR="00000000" w:rsidDel="00000000" w:rsidP="00000000" w:rsidRDefault="00000000" w:rsidRPr="00000000" w14:paraId="000001EB">
      <w:pPr>
        <w:spacing w:after="60" w:before="40" w:lineRule="auto"/>
        <w:ind w:left="720" w:hanging="720"/>
        <w:jc w:val="both"/>
        <w:rPr>
          <w:rFonts w:ascii="Poppins" w:cs="Poppins" w:eastAsia="Poppins" w:hAnsi="Poppins"/>
          <w:color w:val="1a1a1a"/>
        </w:rPr>
      </w:pPr>
      <w:r w:rsidDel="00000000" w:rsidR="00000000" w:rsidRPr="00000000">
        <w:rPr>
          <w:rFonts w:ascii="Poppins" w:cs="Poppins" w:eastAsia="Poppins" w:hAnsi="Poppins"/>
          <w:color w:val="1a1a1a"/>
          <w:rtl w:val="0"/>
        </w:rPr>
        <w:t xml:space="preserve">LAG Napoca Porolissum (2026). EMPOWER+ Task 2.2 Country Report: Romania. EMPOWER+ Consortium.</w:t>
      </w:r>
    </w:p>
    <w:p w:rsidR="00000000" w:rsidDel="00000000" w:rsidP="00000000" w:rsidRDefault="00000000" w:rsidRPr="00000000" w14:paraId="000001EC">
      <w:pPr>
        <w:pStyle w:val="Heading2"/>
        <w:keepNext w:val="1"/>
        <w:spacing w:after="80" w:before="280" w:lineRule="auto"/>
        <w:rPr>
          <w:rFonts w:ascii="Poppins" w:cs="Poppins" w:eastAsia="Poppins" w:hAnsi="Poppins"/>
          <w:color w:val="b7c3a1"/>
        </w:rPr>
      </w:pPr>
      <w:r w:rsidDel="00000000" w:rsidR="00000000" w:rsidRPr="00000000">
        <w:rPr>
          <w:rFonts w:ascii="Poppins" w:cs="Poppins" w:eastAsia="Poppins" w:hAnsi="Poppins"/>
          <w:color w:val="b7c3a1"/>
          <w:rtl w:val="0"/>
        </w:rPr>
        <w:t xml:space="preserve">Cadres politiques et normes internationales</w:t>
      </w:r>
    </w:p>
    <w:p w:rsidR="00000000" w:rsidDel="00000000" w:rsidP="00000000" w:rsidRDefault="00000000" w:rsidRPr="00000000" w14:paraId="000001ED">
      <w:pPr>
        <w:spacing w:after="60" w:before="40" w:lineRule="auto"/>
        <w:ind w:left="720" w:hanging="720"/>
        <w:jc w:val="both"/>
        <w:rPr>
          <w:rFonts w:ascii="Poppins" w:cs="Poppins" w:eastAsia="Poppins" w:hAnsi="Poppins"/>
          <w:color w:val="1a1a1a"/>
        </w:rPr>
      </w:pPr>
      <w:r w:rsidDel="00000000" w:rsidR="00000000" w:rsidRPr="00000000">
        <w:rPr>
          <w:rFonts w:ascii="Poppins" w:cs="Poppins" w:eastAsia="Poppins" w:hAnsi="Poppins"/>
          <w:color w:val="1a1a1a"/>
          <w:rtl w:val="0"/>
        </w:rPr>
        <w:t xml:space="preserve">African Union (2006). African Youth Charter. African Union Commission, Addis Ababa.</w:t>
      </w:r>
    </w:p>
    <w:p w:rsidR="00000000" w:rsidDel="00000000" w:rsidP="00000000" w:rsidRDefault="00000000" w:rsidRPr="00000000" w14:paraId="000001EE">
      <w:pPr>
        <w:spacing w:after="60" w:before="40" w:lineRule="auto"/>
        <w:ind w:left="720" w:hanging="720"/>
        <w:jc w:val="both"/>
        <w:rPr>
          <w:rFonts w:ascii="Poppins" w:cs="Poppins" w:eastAsia="Poppins" w:hAnsi="Poppins"/>
          <w:color w:val="1a1a1a"/>
        </w:rPr>
      </w:pPr>
      <w:r w:rsidDel="00000000" w:rsidR="00000000" w:rsidRPr="00000000">
        <w:rPr>
          <w:rFonts w:ascii="Poppins" w:cs="Poppins" w:eastAsia="Poppins" w:hAnsi="Poppins"/>
          <w:color w:val="1a1a1a"/>
          <w:rtl w:val="0"/>
        </w:rPr>
        <w:t xml:space="preserve">Commonwealth Parliamentary Association (2023). Youth Parliament Toolkit. CPA Headquarters Secretariat, London.</w:t>
      </w:r>
    </w:p>
    <w:p w:rsidR="00000000" w:rsidDel="00000000" w:rsidP="00000000" w:rsidRDefault="00000000" w:rsidRPr="00000000" w14:paraId="000001EF">
      <w:pPr>
        <w:spacing w:after="60" w:before="40" w:lineRule="auto"/>
        <w:ind w:left="720" w:hanging="720"/>
        <w:jc w:val="both"/>
        <w:rPr>
          <w:rFonts w:ascii="Poppins" w:cs="Poppins" w:eastAsia="Poppins" w:hAnsi="Poppins"/>
          <w:color w:val="1a1a1a"/>
        </w:rPr>
      </w:pPr>
      <w:r w:rsidDel="00000000" w:rsidR="00000000" w:rsidRPr="00000000">
        <w:rPr>
          <w:rFonts w:ascii="Poppins" w:cs="Poppins" w:eastAsia="Poppins" w:hAnsi="Poppins"/>
          <w:color w:val="1a1a1a"/>
          <w:rtl w:val="0"/>
        </w:rPr>
        <w:t xml:space="preserve">European Commission (2019). EU Youth Strategy 2019-2027: Engage, Connect, Empower. Publications Office of the European Union, Luxembourg.</w:t>
      </w:r>
    </w:p>
    <w:p w:rsidR="00000000" w:rsidDel="00000000" w:rsidP="00000000" w:rsidRDefault="00000000" w:rsidRPr="00000000" w14:paraId="000001F0">
      <w:pPr>
        <w:spacing w:after="60" w:before="40" w:lineRule="auto"/>
        <w:ind w:left="720" w:hanging="720"/>
        <w:jc w:val="both"/>
        <w:rPr>
          <w:rFonts w:ascii="Poppins" w:cs="Poppins" w:eastAsia="Poppins" w:hAnsi="Poppins"/>
          <w:color w:val="1a1a1a"/>
        </w:rPr>
      </w:pPr>
      <w:r w:rsidDel="00000000" w:rsidR="00000000" w:rsidRPr="00000000">
        <w:rPr>
          <w:rFonts w:ascii="Poppins" w:cs="Poppins" w:eastAsia="Poppins" w:hAnsi="Poppins"/>
          <w:color w:val="1a1a1a"/>
          <w:rtl w:val="0"/>
        </w:rPr>
        <w:t xml:space="preserve">European Commission (2021). Erasmus+ Programme Guide. European Commission, Brussels.</w:t>
      </w:r>
    </w:p>
    <w:p w:rsidR="00000000" w:rsidDel="00000000" w:rsidP="00000000" w:rsidRDefault="00000000" w:rsidRPr="00000000" w14:paraId="000001F1">
      <w:pPr>
        <w:spacing w:after="60" w:before="40" w:lineRule="auto"/>
        <w:ind w:left="720" w:hanging="720"/>
        <w:jc w:val="both"/>
        <w:rPr>
          <w:rFonts w:ascii="Poppins" w:cs="Poppins" w:eastAsia="Poppins" w:hAnsi="Poppins"/>
          <w:color w:val="1a1a1a"/>
        </w:rPr>
      </w:pPr>
      <w:r w:rsidDel="00000000" w:rsidR="00000000" w:rsidRPr="00000000">
        <w:rPr>
          <w:rFonts w:ascii="Poppins" w:cs="Poppins" w:eastAsia="Poppins" w:hAnsi="Poppins"/>
          <w:color w:val="1a1a1a"/>
          <w:rtl w:val="0"/>
        </w:rPr>
        <w:t xml:space="preserve">Government of Botswana (2010). Revised National Youth Policy. Ministry of Youth, Sport and Culture, Gaborone.</w:t>
      </w:r>
    </w:p>
    <w:p w:rsidR="00000000" w:rsidDel="00000000" w:rsidP="00000000" w:rsidRDefault="00000000" w:rsidRPr="00000000" w14:paraId="000001F2">
      <w:pPr>
        <w:spacing w:after="60" w:before="40" w:lineRule="auto"/>
        <w:ind w:left="720" w:hanging="720"/>
        <w:jc w:val="both"/>
        <w:rPr>
          <w:rFonts w:ascii="Poppins" w:cs="Poppins" w:eastAsia="Poppins" w:hAnsi="Poppins"/>
          <w:color w:val="1a1a1a"/>
        </w:rPr>
      </w:pPr>
      <w:r w:rsidDel="00000000" w:rsidR="00000000" w:rsidRPr="00000000">
        <w:rPr>
          <w:rFonts w:ascii="Poppins" w:cs="Poppins" w:eastAsia="Poppins" w:hAnsi="Poppins"/>
          <w:color w:val="1a1a1a"/>
          <w:rtl w:val="0"/>
        </w:rPr>
        <w:t xml:space="preserve">Government of Mauritius (2016). National Youth Policy. Ministry of Youth and Sports, Port Louis.</w:t>
      </w:r>
    </w:p>
    <w:p w:rsidR="00000000" w:rsidDel="00000000" w:rsidP="00000000" w:rsidRDefault="00000000" w:rsidRPr="00000000" w14:paraId="000001F3">
      <w:pPr>
        <w:spacing w:after="60" w:before="40" w:lineRule="auto"/>
        <w:ind w:left="720" w:hanging="720"/>
        <w:jc w:val="both"/>
        <w:rPr>
          <w:rFonts w:ascii="Poppins" w:cs="Poppins" w:eastAsia="Poppins" w:hAnsi="Poppins"/>
          <w:color w:val="1a1a1a"/>
        </w:rPr>
      </w:pPr>
      <w:r w:rsidDel="00000000" w:rsidR="00000000" w:rsidRPr="00000000">
        <w:rPr>
          <w:rFonts w:ascii="Poppins" w:cs="Poppins" w:eastAsia="Poppins" w:hAnsi="Poppins"/>
          <w:color w:val="1a1a1a"/>
          <w:rtl w:val="0"/>
        </w:rPr>
        <w:t xml:space="preserve">Government of Nigeria (2018). Not Too Young to Run Act. National Assembly of Nigeria, Abuja.</w:t>
      </w:r>
    </w:p>
    <w:p w:rsidR="00000000" w:rsidDel="00000000" w:rsidP="00000000" w:rsidRDefault="00000000" w:rsidRPr="00000000" w14:paraId="000001F4">
      <w:pPr>
        <w:spacing w:after="60" w:before="40" w:lineRule="auto"/>
        <w:ind w:left="720" w:hanging="720"/>
        <w:jc w:val="both"/>
        <w:rPr>
          <w:rFonts w:ascii="Poppins" w:cs="Poppins" w:eastAsia="Poppins" w:hAnsi="Poppins"/>
          <w:color w:val="1a1a1a"/>
        </w:rPr>
      </w:pPr>
      <w:r w:rsidDel="00000000" w:rsidR="00000000" w:rsidRPr="00000000">
        <w:rPr>
          <w:rFonts w:ascii="Poppins" w:cs="Poppins" w:eastAsia="Poppins" w:hAnsi="Poppins"/>
          <w:color w:val="1a1a1a"/>
          <w:rtl w:val="0"/>
        </w:rPr>
        <w:t xml:space="preserve">Government of Nigeria (2019). National Youth Policy. Federal Ministry of Youth and Sports Development, Abuja.</w:t>
      </w:r>
    </w:p>
    <w:p w:rsidR="00000000" w:rsidDel="00000000" w:rsidP="00000000" w:rsidRDefault="00000000" w:rsidRPr="00000000" w14:paraId="000001F5">
      <w:pPr>
        <w:spacing w:after="60" w:before="40" w:lineRule="auto"/>
        <w:ind w:left="720" w:hanging="720"/>
        <w:jc w:val="both"/>
        <w:rPr>
          <w:rFonts w:ascii="Poppins" w:cs="Poppins" w:eastAsia="Poppins" w:hAnsi="Poppins"/>
          <w:color w:val="1a1a1a"/>
        </w:rPr>
      </w:pPr>
      <w:r w:rsidDel="00000000" w:rsidR="00000000" w:rsidRPr="00000000">
        <w:rPr>
          <w:rFonts w:ascii="Poppins" w:cs="Poppins" w:eastAsia="Poppins" w:hAnsi="Poppins"/>
          <w:color w:val="1a1a1a"/>
          <w:rtl w:val="0"/>
        </w:rPr>
        <w:t xml:space="preserve">Government of Romania (2024). National Youth Strategy 2024-2027. Ministry of Family, Youth and Equal Opportunities, Bucharest.</w:t>
      </w:r>
    </w:p>
    <w:p w:rsidR="00000000" w:rsidDel="00000000" w:rsidP="00000000" w:rsidRDefault="00000000" w:rsidRPr="00000000" w14:paraId="000001F6">
      <w:pPr>
        <w:spacing w:after="60" w:before="40" w:lineRule="auto"/>
        <w:ind w:left="720" w:hanging="720"/>
        <w:jc w:val="both"/>
        <w:rPr>
          <w:rFonts w:ascii="Poppins" w:cs="Poppins" w:eastAsia="Poppins" w:hAnsi="Poppins"/>
          <w:color w:val="1a1a1a"/>
        </w:rPr>
      </w:pPr>
      <w:r w:rsidDel="00000000" w:rsidR="00000000" w:rsidRPr="00000000">
        <w:rPr>
          <w:rFonts w:ascii="Poppins" w:cs="Poppins" w:eastAsia="Poppins" w:hAnsi="Poppins"/>
          <w:color w:val="1a1a1a"/>
          <w:rtl w:val="0"/>
        </w:rPr>
        <w:t xml:space="preserve">International Institute for Democracy and Electoral Assistance (2021). Youth Parliamentary Academy Toolkit. IDEA, Stockholm.</w:t>
      </w:r>
    </w:p>
    <w:p w:rsidR="00000000" w:rsidDel="00000000" w:rsidP="00000000" w:rsidRDefault="00000000" w:rsidRPr="00000000" w14:paraId="000001F7">
      <w:pPr>
        <w:spacing w:after="60" w:before="40" w:lineRule="auto"/>
        <w:ind w:left="720" w:hanging="720"/>
        <w:jc w:val="both"/>
        <w:rPr>
          <w:rFonts w:ascii="Poppins" w:cs="Poppins" w:eastAsia="Poppins" w:hAnsi="Poppins"/>
          <w:color w:val="1a1a1a"/>
        </w:rPr>
      </w:pPr>
      <w:r w:rsidDel="00000000" w:rsidR="00000000" w:rsidRPr="00000000">
        <w:rPr>
          <w:rFonts w:ascii="Poppins" w:cs="Poppins" w:eastAsia="Poppins" w:hAnsi="Poppins"/>
          <w:color w:val="1a1a1a"/>
          <w:rtl w:val="0"/>
        </w:rPr>
        <w:t xml:space="preserve">Republic of Madagascar (2015). Plan d'Emergence de Madagascar. Presidence de la Republique, Antananarivo.</w:t>
      </w:r>
    </w:p>
    <w:p w:rsidR="00000000" w:rsidDel="00000000" w:rsidP="00000000" w:rsidRDefault="00000000" w:rsidRPr="00000000" w14:paraId="000001F8">
      <w:pPr>
        <w:spacing w:after="60" w:before="40" w:lineRule="auto"/>
        <w:ind w:left="720" w:hanging="720"/>
        <w:jc w:val="both"/>
        <w:rPr>
          <w:rFonts w:ascii="Poppins" w:cs="Poppins" w:eastAsia="Poppins" w:hAnsi="Poppins"/>
          <w:color w:val="1a1a1a"/>
        </w:rPr>
      </w:pPr>
      <w:r w:rsidDel="00000000" w:rsidR="00000000" w:rsidRPr="00000000">
        <w:rPr>
          <w:rFonts w:ascii="Poppins" w:cs="Poppins" w:eastAsia="Poppins" w:hAnsi="Poppins"/>
          <w:color w:val="1a1a1a"/>
          <w:rtl w:val="0"/>
        </w:rPr>
        <w:t xml:space="preserve">United Nations (2010). United Nations World Programme of Action for Youth. UN Department of Economic and Social Affairs, New York.</w:t>
      </w:r>
    </w:p>
    <w:p w:rsidR="00000000" w:rsidDel="00000000" w:rsidP="00000000" w:rsidRDefault="00000000" w:rsidRPr="00000000" w14:paraId="000001F9">
      <w:pPr>
        <w:pStyle w:val="Heading2"/>
        <w:keepNext w:val="1"/>
        <w:spacing w:after="80" w:before="280" w:lineRule="auto"/>
        <w:rPr>
          <w:rFonts w:ascii="Poppins" w:cs="Poppins" w:eastAsia="Poppins" w:hAnsi="Poppins"/>
          <w:color w:val="b7c3a1"/>
        </w:rPr>
      </w:pPr>
      <w:r w:rsidDel="00000000" w:rsidR="00000000" w:rsidRPr="00000000">
        <w:rPr>
          <w:rFonts w:ascii="Poppins" w:cs="Poppins" w:eastAsia="Poppins" w:hAnsi="Poppins"/>
          <w:color w:val="b7c3a1"/>
          <w:rtl w:val="0"/>
        </w:rPr>
        <w:t xml:space="preserve">Littérature académique et institutionnelle</w:t>
      </w:r>
    </w:p>
    <w:p w:rsidR="00000000" w:rsidDel="00000000" w:rsidP="00000000" w:rsidRDefault="00000000" w:rsidRPr="00000000" w14:paraId="000001FA">
      <w:pPr>
        <w:spacing w:after="60" w:before="40" w:lineRule="auto"/>
        <w:ind w:left="720" w:hanging="720"/>
        <w:jc w:val="both"/>
        <w:rPr>
          <w:rFonts w:ascii="Poppins" w:cs="Poppins" w:eastAsia="Poppins" w:hAnsi="Poppins"/>
          <w:color w:val="1a1a1a"/>
        </w:rPr>
      </w:pPr>
      <w:r w:rsidDel="00000000" w:rsidR="00000000" w:rsidRPr="00000000">
        <w:rPr>
          <w:rFonts w:ascii="Poppins" w:cs="Poppins" w:eastAsia="Poppins" w:hAnsi="Poppins"/>
          <w:color w:val="1a1a1a"/>
          <w:rtl w:val="0"/>
        </w:rPr>
        <w:t xml:space="preserve">Arnstein, S.R. (1969). A Ladder of Citizen Participation. Journal of the American Institute of Planners, 35(4), 216-224.</w:t>
      </w:r>
    </w:p>
    <w:p w:rsidR="00000000" w:rsidDel="00000000" w:rsidP="00000000" w:rsidRDefault="00000000" w:rsidRPr="00000000" w14:paraId="000001FB">
      <w:pPr>
        <w:spacing w:after="60" w:before="40" w:lineRule="auto"/>
        <w:ind w:left="720" w:hanging="720"/>
        <w:jc w:val="both"/>
        <w:rPr>
          <w:rFonts w:ascii="Poppins" w:cs="Poppins" w:eastAsia="Poppins" w:hAnsi="Poppins"/>
          <w:color w:val="1a1a1a"/>
        </w:rPr>
      </w:pPr>
      <w:r w:rsidDel="00000000" w:rsidR="00000000" w:rsidRPr="00000000">
        <w:rPr>
          <w:rFonts w:ascii="Poppins" w:cs="Poppins" w:eastAsia="Poppins" w:hAnsi="Poppins"/>
          <w:color w:val="1a1a1a"/>
          <w:rtl w:val="0"/>
        </w:rPr>
        <w:t xml:space="preserve">Brady, B., Chaskin, R. and McGregor, C. (2020). Promoting Civic and Political Engagement among Marginalized Urban Youth in Three Cities. Children and Youth Services Review, 113, 104961.</w:t>
      </w:r>
    </w:p>
    <w:p w:rsidR="00000000" w:rsidDel="00000000" w:rsidP="00000000" w:rsidRDefault="00000000" w:rsidRPr="00000000" w14:paraId="000001FC">
      <w:pPr>
        <w:spacing w:after="60" w:before="40" w:lineRule="auto"/>
        <w:ind w:left="720" w:hanging="720"/>
        <w:jc w:val="both"/>
        <w:rPr>
          <w:rFonts w:ascii="Poppins" w:cs="Poppins" w:eastAsia="Poppins" w:hAnsi="Poppins"/>
          <w:color w:val="1a1a1a"/>
        </w:rPr>
      </w:pPr>
      <w:r w:rsidDel="00000000" w:rsidR="00000000" w:rsidRPr="00000000">
        <w:rPr>
          <w:rFonts w:ascii="Poppins" w:cs="Poppins" w:eastAsia="Poppins" w:hAnsi="Poppins"/>
          <w:color w:val="1a1a1a"/>
          <w:rtl w:val="0"/>
        </w:rPr>
        <w:t xml:space="preserve">Checkoway, B. and Aldana, A. (2013). Four Forms of Youth Civic Engagement for Diverse Democracy. Children and Youth Services Review, 35(11), 1894-1899.</w:t>
      </w:r>
    </w:p>
    <w:p w:rsidR="00000000" w:rsidDel="00000000" w:rsidP="00000000" w:rsidRDefault="00000000" w:rsidRPr="00000000" w14:paraId="000001FD">
      <w:pPr>
        <w:spacing w:after="60" w:before="40" w:lineRule="auto"/>
        <w:ind w:left="720" w:hanging="720"/>
        <w:jc w:val="both"/>
        <w:rPr>
          <w:rFonts w:ascii="Poppins" w:cs="Poppins" w:eastAsia="Poppins" w:hAnsi="Poppins"/>
          <w:color w:val="1a1a1a"/>
        </w:rPr>
      </w:pPr>
      <w:r w:rsidDel="00000000" w:rsidR="00000000" w:rsidRPr="00000000">
        <w:rPr>
          <w:rFonts w:ascii="Poppins" w:cs="Poppins" w:eastAsia="Poppins" w:hAnsi="Poppins"/>
          <w:color w:val="1a1a1a"/>
          <w:rtl w:val="0"/>
        </w:rPr>
        <w:t xml:space="preserve">Commonwealth Secretariat (2016). Youth Development Index 2016. Commonwealth Secretariat, London.</w:t>
      </w:r>
    </w:p>
    <w:p w:rsidR="00000000" w:rsidDel="00000000" w:rsidP="00000000" w:rsidRDefault="00000000" w:rsidRPr="00000000" w14:paraId="000001FE">
      <w:pPr>
        <w:spacing w:after="60" w:before="40" w:lineRule="auto"/>
        <w:ind w:left="720" w:hanging="720"/>
        <w:jc w:val="both"/>
        <w:rPr>
          <w:rFonts w:ascii="Poppins" w:cs="Poppins" w:eastAsia="Poppins" w:hAnsi="Poppins"/>
          <w:color w:val="1a1a1a"/>
        </w:rPr>
      </w:pPr>
      <w:r w:rsidDel="00000000" w:rsidR="00000000" w:rsidRPr="00000000">
        <w:rPr>
          <w:rFonts w:ascii="Poppins" w:cs="Poppins" w:eastAsia="Poppins" w:hAnsi="Poppins"/>
          <w:color w:val="1a1a1a"/>
          <w:rtl w:val="0"/>
        </w:rPr>
        <w:t xml:space="preserve">Hart, R. (1992). Children's Participation: From Tokenism to Citizenship. UNICEF Innocenti Essays No. 4. UNICEF, Florence.</w:t>
      </w:r>
    </w:p>
    <w:p w:rsidR="00000000" w:rsidDel="00000000" w:rsidP="00000000" w:rsidRDefault="00000000" w:rsidRPr="00000000" w14:paraId="000001FF">
      <w:pPr>
        <w:spacing w:after="60" w:before="40" w:lineRule="auto"/>
        <w:ind w:left="720" w:hanging="720"/>
        <w:jc w:val="both"/>
        <w:rPr>
          <w:rFonts w:ascii="Poppins" w:cs="Poppins" w:eastAsia="Poppins" w:hAnsi="Poppins"/>
          <w:color w:val="1a1a1a"/>
        </w:rPr>
      </w:pPr>
      <w:r w:rsidDel="00000000" w:rsidR="00000000" w:rsidRPr="00000000">
        <w:rPr>
          <w:rFonts w:ascii="Poppins" w:cs="Poppins" w:eastAsia="Poppins" w:hAnsi="Poppins"/>
          <w:color w:val="1a1a1a"/>
          <w:rtl w:val="0"/>
        </w:rPr>
        <w:t xml:space="preserve">International Youth Foundation (2015). Reconnecting Youth in Sub-Saharan Africa. International Youth Foundation, Baltimore.</w:t>
      </w:r>
    </w:p>
    <w:p w:rsidR="00000000" w:rsidDel="00000000" w:rsidP="00000000" w:rsidRDefault="00000000" w:rsidRPr="00000000" w14:paraId="00000200">
      <w:pPr>
        <w:spacing w:after="60" w:before="40" w:lineRule="auto"/>
        <w:ind w:left="720" w:hanging="720"/>
        <w:jc w:val="both"/>
        <w:rPr>
          <w:rFonts w:ascii="Poppins" w:cs="Poppins" w:eastAsia="Poppins" w:hAnsi="Poppins"/>
          <w:color w:val="1a1a1a"/>
        </w:rPr>
      </w:pPr>
      <w:r w:rsidDel="00000000" w:rsidR="00000000" w:rsidRPr="00000000">
        <w:rPr>
          <w:rFonts w:ascii="Poppins" w:cs="Poppins" w:eastAsia="Poppins" w:hAnsi="Poppins"/>
          <w:color w:val="1a1a1a"/>
          <w:rtl w:val="0"/>
        </w:rPr>
        <w:t xml:space="preserve">Mannion, G. (2010). After Participation: The Sociospatial Performance of Intergenerational Becoming. In B. Percy-Smith and N. Thomas (Eds.), A Handbook of Children and Young People's Participation. Routledge, London.</w:t>
      </w:r>
    </w:p>
    <w:p w:rsidR="00000000" w:rsidDel="00000000" w:rsidP="00000000" w:rsidRDefault="00000000" w:rsidRPr="00000000" w14:paraId="00000201">
      <w:pPr>
        <w:spacing w:after="60" w:before="40" w:lineRule="auto"/>
        <w:ind w:left="720" w:hanging="720"/>
        <w:jc w:val="both"/>
        <w:rPr>
          <w:rFonts w:ascii="Poppins" w:cs="Poppins" w:eastAsia="Poppins" w:hAnsi="Poppins"/>
          <w:color w:val="1a1a1a"/>
        </w:rPr>
      </w:pPr>
      <w:r w:rsidDel="00000000" w:rsidR="00000000" w:rsidRPr="00000000">
        <w:rPr>
          <w:rFonts w:ascii="Poppins" w:cs="Poppins" w:eastAsia="Poppins" w:hAnsi="Poppins"/>
          <w:color w:val="1a1a1a"/>
          <w:rtl w:val="0"/>
        </w:rPr>
        <w:t xml:space="preserve">Nesi, H., Meulenberg, M. and Schafft, K. (2016). Youth Participation in Rural Development. Rural Sociology, 81(4), 501-528.</w:t>
      </w:r>
    </w:p>
    <w:p w:rsidR="00000000" w:rsidDel="00000000" w:rsidP="00000000" w:rsidRDefault="00000000" w:rsidRPr="00000000" w14:paraId="00000202">
      <w:pPr>
        <w:spacing w:after="60" w:before="40" w:lineRule="auto"/>
        <w:ind w:left="720" w:hanging="720"/>
        <w:jc w:val="both"/>
        <w:rPr>
          <w:rFonts w:ascii="Poppins" w:cs="Poppins" w:eastAsia="Poppins" w:hAnsi="Poppins"/>
          <w:color w:val="1a1a1a"/>
        </w:rPr>
      </w:pPr>
      <w:r w:rsidDel="00000000" w:rsidR="00000000" w:rsidRPr="00000000">
        <w:rPr>
          <w:rFonts w:ascii="Poppins" w:cs="Poppins" w:eastAsia="Poppins" w:hAnsi="Poppins"/>
          <w:color w:val="1a1a1a"/>
          <w:rtl w:val="0"/>
        </w:rPr>
        <w:t xml:space="preserve">Percy-Smith, B. and Thomas, N. (Eds.) (2010). A Handbook of Children and Young People's Participation: Perspectives from Theory and Practice. Routledge, London.</w:t>
      </w:r>
    </w:p>
    <w:p w:rsidR="00000000" w:rsidDel="00000000" w:rsidP="00000000" w:rsidRDefault="00000000" w:rsidRPr="00000000" w14:paraId="00000203">
      <w:pPr>
        <w:spacing w:after="60" w:before="40" w:lineRule="auto"/>
        <w:ind w:left="720" w:hanging="720"/>
        <w:jc w:val="both"/>
        <w:rPr>
          <w:rFonts w:ascii="Poppins" w:cs="Poppins" w:eastAsia="Poppins" w:hAnsi="Poppins"/>
          <w:color w:val="1a1a1a"/>
        </w:rPr>
      </w:pPr>
      <w:r w:rsidDel="00000000" w:rsidR="00000000" w:rsidRPr="00000000">
        <w:rPr>
          <w:rFonts w:ascii="Poppins" w:cs="Poppins" w:eastAsia="Poppins" w:hAnsi="Poppins"/>
          <w:color w:val="1a1a1a"/>
          <w:rtl w:val="0"/>
        </w:rPr>
        <w:t xml:space="preserve">UNDP (2021). Youth Participation in Democratic Governance. UNDP Oslo Governance Centre, Oslo.</w:t>
      </w:r>
    </w:p>
    <w:p w:rsidR="00000000" w:rsidDel="00000000" w:rsidP="00000000" w:rsidRDefault="00000000" w:rsidRPr="00000000" w14:paraId="00000204">
      <w:pPr>
        <w:spacing w:after="60" w:before="40" w:lineRule="auto"/>
        <w:ind w:left="720" w:hanging="720"/>
        <w:jc w:val="both"/>
        <w:rPr>
          <w:rFonts w:ascii="Poppins" w:cs="Poppins" w:eastAsia="Poppins" w:hAnsi="Poppins"/>
          <w:color w:val="1a1a1a"/>
        </w:rPr>
      </w:pPr>
      <w:r w:rsidDel="00000000" w:rsidR="00000000" w:rsidRPr="00000000">
        <w:rPr>
          <w:rFonts w:ascii="Poppins" w:cs="Poppins" w:eastAsia="Poppins" w:hAnsi="Poppins"/>
          <w:color w:val="1a1a1a"/>
          <w:rtl w:val="0"/>
        </w:rPr>
        <w:t xml:space="preserve">UNICEF (2020). Children's Parliaments: A Practical Guide. UNICEF, New York.</w:t>
      </w:r>
    </w:p>
    <w:p w:rsidR="00000000" w:rsidDel="00000000" w:rsidP="00000000" w:rsidRDefault="00000000" w:rsidRPr="00000000" w14:paraId="00000205">
      <w:pPr>
        <w:spacing w:after="60" w:before="40" w:lineRule="auto"/>
        <w:ind w:left="720" w:hanging="720"/>
        <w:jc w:val="both"/>
        <w:rPr>
          <w:rFonts w:ascii="Poppins" w:cs="Poppins" w:eastAsia="Poppins" w:hAnsi="Poppins"/>
          <w:color w:val="1a1a1a"/>
        </w:rPr>
      </w:pPr>
      <w:r w:rsidDel="00000000" w:rsidR="00000000" w:rsidRPr="00000000">
        <w:rPr>
          <w:rFonts w:ascii="Poppins" w:cs="Poppins" w:eastAsia="Poppins" w:hAnsi="Poppins"/>
          <w:color w:val="1a1a1a"/>
          <w:rtl w:val="0"/>
        </w:rPr>
        <w:t xml:space="preserve">World Bank (2022). Inclusion and Resilience: Youth Civic Participation in Fragile Contexts. World Bank Group, Washington D.C.</w:t>
      </w:r>
    </w:p>
    <w:p w:rsidR="00000000" w:rsidDel="00000000" w:rsidP="00000000" w:rsidRDefault="00000000" w:rsidRPr="00000000" w14:paraId="00000206">
      <w:pPr>
        <w:spacing w:after="60" w:before="40" w:lineRule="auto"/>
        <w:ind w:left="720" w:hanging="720"/>
        <w:jc w:val="both"/>
        <w:rPr>
          <w:rFonts w:ascii="Poppins" w:cs="Poppins" w:eastAsia="Poppins" w:hAnsi="Poppins"/>
          <w:color w:val="1a1a1a"/>
        </w:rPr>
      </w:pPr>
      <w:r w:rsidDel="00000000" w:rsidR="00000000" w:rsidRPr="00000000">
        <w:rPr>
          <w:rFonts w:ascii="Poppins" w:cs="Poppins" w:eastAsia="Poppins" w:hAnsi="Poppins"/>
          <w:color w:val="1a1a1a"/>
          <w:rtl w:val="0"/>
        </w:rPr>
        <w:t xml:space="preserve">Youth Policy Press (2022). World Youth Report 2022: Social Entrepreneurship and the 2030 Agenda. UN Department of Economic and Social Affairs, New York.</w:t>
      </w:r>
    </w:p>
    <w:sectPr>
      <w:headerReference r:id="rId12" w:type="default"/>
      <w:footerReference r:id="rId13" w:type="default"/>
      <w:type w:val="nextPage"/>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Georgia"/>
  <w:font w:name="Poppi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0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center"/>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bCs w:val="0"/>
        <w:i w:val="1"/>
        <w:iCs w:val="1"/>
        <w:smallCaps w:val="0"/>
        <w:strike w:val="0"/>
        <w:color w:val="000000"/>
        <w:sz w:val="18"/>
        <w:szCs w:val="18"/>
        <w:u w:val="none"/>
        <w:shd w:fill="auto" w:val="clear"/>
        <w:vertAlign w:val="baseline"/>
        <w:rtl w:val="0"/>
      </w:rPr>
      <w:t xml:space="preserve">ERASMUS-YOUTH-2025-CB-SSA – Project number: 101243075</w:t>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160019</wp:posOffset>
          </wp:positionH>
          <wp:positionV relativeFrom="paragraph">
            <wp:posOffset>-99694</wp:posOffset>
          </wp:positionV>
          <wp:extent cx="6105600" cy="1117600"/>
          <wp:effectExtent b="0" l="0" r="0" t="0"/>
          <wp:wrapTopAndBottom distB="114300" distT="114300"/>
          <wp:docPr id="3"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6105600" cy="1117600"/>
                  </a:xfrm>
                  <a:prstGeom prst="rect"/>
                  <a:ln/>
                </pic:spPr>
              </pic:pic>
            </a:graphicData>
          </a:graphic>
        </wp:anchor>
      </w:drawing>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09">
    <w:pPr>
      <w:spacing w:line="240" w:lineRule="auto"/>
      <w:jc w:val="center"/>
      <w:rPr>
        <w:rFonts w:ascii="Calibri" w:cs="Calibri" w:eastAsia="Calibri" w:hAnsi="Calibri"/>
      </w:rPr>
    </w:pPr>
    <w:r w:rsidDel="00000000" w:rsidR="00000000" w:rsidRPr="00000000">
      <w:rPr>
        <w:rFonts w:ascii="Calibri" w:cs="Calibri" w:eastAsia="Calibri" w:hAnsi="Calibri"/>
        <w:i w:val="1"/>
        <w:iCs w:val="1"/>
        <w:sz w:val="18"/>
        <w:szCs w:val="18"/>
        <w:rtl w:val="0"/>
      </w:rPr>
      <w:t xml:space="preserve">ERASMUS-YOUTH-2025-CB-SSA – Project number: 101243075</w:t>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114300</wp:posOffset>
          </wp:positionH>
          <wp:positionV relativeFrom="paragraph">
            <wp:posOffset>114300</wp:posOffset>
          </wp:positionV>
          <wp:extent cx="6105600" cy="1117600"/>
          <wp:effectExtent b="0" l="0" r="0" t="0"/>
          <wp:wrapTopAndBottom distB="114300" distT="114300"/>
          <wp:docPr id="7"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6105600" cy="1117600"/>
                  </a:xfrm>
                  <a:prstGeom prst="rect"/>
                  <a:ln/>
                </pic:spPr>
              </pic:pic>
            </a:graphicData>
          </a:graphic>
        </wp:anchor>
      </w:drawing>
    </w:r>
  </w:p>
  <w:p w:rsidR="00000000" w:rsidDel="00000000" w:rsidP="00000000" w:rsidRDefault="00000000" w:rsidRPr="00000000" w14:paraId="0000020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0B">
    <w:pPr>
      <w:pBdr>
        <w:top w:color="4f81bd" w:space="1" w:sz="4" w:val="single"/>
      </w:pBdr>
      <w:tabs>
        <w:tab w:val="center" w:leader="none" w:pos="4514"/>
      </w:tabs>
      <w:spacing w:before="60" w:line="240" w:lineRule="auto"/>
      <w:rPr>
        <w:rFonts w:ascii="Calibri" w:cs="Calibri" w:eastAsia="Calibri" w:hAnsi="Calibri"/>
        <w:color w:val="666666"/>
        <w:sz w:val="18"/>
        <w:szCs w:val="18"/>
      </w:rPr>
    </w:pPr>
    <w:r w:rsidDel="00000000" w:rsidR="00000000" w:rsidRPr="00000000">
      <w:rPr>
        <w:rFonts w:ascii="Calibri" w:cs="Calibri" w:eastAsia="Calibri" w:hAnsi="Calibri"/>
        <w:color w:val="666666"/>
        <w:sz w:val="18"/>
        <w:szCs w:val="18"/>
        <w:rtl w:val="0"/>
      </w:rPr>
      <w:tab/>
      <w:t xml:space="preserve">Empowering Rural Youth: Establishing and Strengthening the Rural Youth Parliament in Sub-Saharan Africa</w:t>
    </w:r>
  </w:p>
  <w:p w:rsidR="00000000" w:rsidDel="00000000" w:rsidP="00000000" w:rsidRDefault="00000000" w:rsidRPr="00000000" w14:paraId="0000020C">
    <w:pPr>
      <w:spacing w:line="240" w:lineRule="auto"/>
      <w:jc w:val="center"/>
      <w:rPr/>
    </w:pPr>
    <w:r w:rsidDel="00000000" w:rsidR="00000000" w:rsidRPr="00000000">
      <w:rPr>
        <w:rFonts w:ascii="Calibri" w:cs="Calibri" w:eastAsia="Calibri" w:hAnsi="Calibri"/>
        <w:color w:val="666666"/>
        <w:sz w:val="18"/>
        <w:szCs w:val="18"/>
        <w:rtl w:val="0"/>
      </w:rPr>
      <w:t xml:space="preserve">ERASMUS-YOUTH-2025-CB-SSA | Project number: 101243075</w:t>
    </w:r>
    <w:r w:rsidDel="00000000" w:rsidR="00000000" w:rsidRPr="00000000">
      <w:rPr>
        <w:rtl w:val="0"/>
      </w:rPr>
    </w:r>
  </w:p>
  <w:p w:rsidR="00000000" w:rsidDel="00000000" w:rsidP="00000000" w:rsidRDefault="00000000" w:rsidRPr="00000000" w14:paraId="0000020D">
    <w:pPr>
      <w:spacing w:line="240" w:lineRule="auto"/>
      <w:jc w:val="center"/>
      <w:rPr/>
    </w:pPr>
    <w:r w:rsidDel="00000000" w:rsidR="00000000" w:rsidRPr="00000000">
      <w:rPr>
        <w:rFonts w:ascii="Calibri" w:cs="Calibri" w:eastAsia="Calibri" w:hAnsi="Calibri"/>
        <w:i w:val="1"/>
        <w:iCs w:val="1"/>
        <w:color w:val="666666"/>
        <w:sz w:val="18"/>
        <w:szCs w:val="18"/>
        <w:rtl w:val="0"/>
      </w:rPr>
      <w:t xml:space="preserve">Funded by the European Union. Views and opinions expressed are those of the author(s) only and do not necessarily reflect those of the European Union or EACEA.</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07">
    <w:pPr>
      <w:spacing w:after="160" w:line="278.00000000000006" w:lineRule="auto"/>
      <w:jc w:val="right"/>
      <w:rPr/>
    </w:pPr>
    <w:r w:rsidDel="00000000" w:rsidR="00000000" w:rsidRPr="00000000">
      <w:rPr>
        <w:rFonts w:ascii="Calibri" w:cs="Calibri" w:eastAsia="Calibri" w:hAnsi="Calibri"/>
      </w:rPr>
      <w:drawing>
        <wp:inline distB="114300" distT="114300" distL="114300" distR="114300">
          <wp:extent cx="931069" cy="890588"/>
          <wp:effectExtent b="0" l="0" r="0" t="0"/>
          <wp:docPr id="6" name="image3.png"/>
          <a:graphic>
            <a:graphicData uri="http://schemas.openxmlformats.org/drawingml/2006/picture">
              <pic:pic>
                <pic:nvPicPr>
                  <pic:cNvPr id="0" name="image3.png"/>
                  <pic:cNvPicPr preferRelativeResize="0"/>
                </pic:nvPicPr>
                <pic:blipFill>
                  <a:blip r:embed="rId1"/>
                  <a:srcRect b="0" l="0" r="0" t="0"/>
                  <a:stretch>
                    <a:fillRect/>
                  </a:stretch>
                </pic:blipFill>
                <pic:spPr>
                  <a:xfrm>
                    <a:off x="0" y="0"/>
                    <a:ext cx="931069" cy="890588"/>
                  </a:xfrm>
                  <a:prstGeom prst="rect"/>
                  <a:ln/>
                </pic:spPr>
              </pic:pic>
            </a:graphicData>
          </a:graphic>
        </wp:inline>
      </w:drawing>
    </w:r>
    <w:r w:rsidDel="00000000" w:rsidR="00000000" w:rsidRPr="00000000">
      <w:pict>
        <v:rect style="width:0.0pt;height:1.5pt" o:hr="t" o:hrstd="t" o:hralign="center" fillcolor="#A0A0A0" stroked="f"/>
      </w:pic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pPr>
    <w:rPr>
      <w:rFonts w:ascii="Calibri" w:cs="Calibri" w:eastAsia="Calibri" w:hAnsi="Calibri"/>
      <w:b w:val="1"/>
      <w:bCs w:val="1"/>
      <w:i w:val="0"/>
      <w:iCs w:val="0"/>
      <w:smallCaps w:val="0"/>
      <w:strike w:val="0"/>
      <w:color w:val="1f497d"/>
      <w:sz w:val="48"/>
      <w:szCs w:val="48"/>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pPr>
    <w:rPr>
      <w:rFonts w:ascii="Calibri" w:cs="Calibri" w:eastAsia="Calibri" w:hAnsi="Calibri"/>
      <w:b w:val="1"/>
      <w:bCs w:val="1"/>
      <w:i w:val="0"/>
      <w:iCs w:val="0"/>
      <w:smallCaps w:val="0"/>
      <w:strike w:val="0"/>
      <w:color w:val="4f81bd"/>
      <w:sz w:val="36"/>
      <w:szCs w:val="36"/>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pPr>
    <w:rPr>
      <w:rFonts w:ascii="Calibri" w:cs="Calibri" w:eastAsia="Calibri" w:hAnsi="Calibri"/>
      <w:b w:val="1"/>
      <w:bCs w:val="1"/>
      <w:i w:val="0"/>
      <w:iCs w:val="0"/>
      <w:smallCaps w:val="0"/>
      <w:strike w:val="0"/>
      <w:color w:val="1f497d"/>
      <w:sz w:val="28"/>
      <w:szCs w:val="28"/>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pPr>
    <w:rPr>
      <w:rFonts w:ascii="Calibri" w:cs="Calibri" w:eastAsia="Calibri" w:hAnsi="Calibri"/>
      <w:b w:val="1"/>
      <w:bCs w:val="1"/>
      <w:i w:val="0"/>
      <w:iCs w:val="0"/>
      <w:smallCaps w:val="0"/>
      <w:strike w:val="0"/>
      <w:color w:val="1a1a1a"/>
      <w:sz w:val="24"/>
      <w:szCs w:val="24"/>
      <w:u w:val="none"/>
      <w:shd w:fill="auto" w:val="clear"/>
      <w:vertAlign w:val="baseline"/>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image" Target="media/image6.png"/><Relationship Id="rId10" Type="http://schemas.openxmlformats.org/officeDocument/2006/relationships/image" Target="media/image2.png"/><Relationship Id="rId13" Type="http://schemas.openxmlformats.org/officeDocument/2006/relationships/footer" Target="footer3.xml"/><Relationship Id="rId12"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4.png"/><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Poppins-regular.ttf"/><Relationship Id="rId2" Type="http://schemas.openxmlformats.org/officeDocument/2006/relationships/font" Target="fonts/Poppins-bold.ttf"/><Relationship Id="rId3" Type="http://schemas.openxmlformats.org/officeDocument/2006/relationships/font" Target="fonts/Poppins-italic.ttf"/><Relationship Id="rId4" Type="http://schemas.openxmlformats.org/officeDocument/2006/relationships/font" Target="fonts/Poppins-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J5my0SLxVwJNvN4heXpdi+7/DA==">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</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0x0101002B0390011445F443992AAA180A5C5B7D</vt:lpwstr>
  </property>
  <property fmtid="{D5CDD505-2E9C-101B-9397-08002B2CF9AE}" pid="3" name="MediaServiceImageTags">
    <vt:lpwstr>MediaServiceImageTags</vt:lpwstr>
  </property>
</Properties>
</file>