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269D7" w14:textId="1CF041C8" w:rsidR="00A55D90" w:rsidRDefault="00BF7AE4" w:rsidP="00B55EE6">
      <w:pPr>
        <w:rPr>
          <w:rFonts w:ascii="Poppins" w:hAnsi="Poppins" w:cs="Poppins"/>
        </w:rPr>
      </w:pPr>
      <w:r w:rsidRPr="00BE4EE4">
        <w:rPr>
          <w:rFonts w:ascii="Poppins" w:hAnsi="Poppins" w:cs="Poppins"/>
          <w:noProof/>
        </w:rPr>
        <w:drawing>
          <wp:anchor distT="0" distB="0" distL="114300" distR="114300" simplePos="0" relativeHeight="251659264" behindDoc="1" locked="0" layoutInCell="1" allowOverlap="1" wp14:anchorId="75ABB652" wp14:editId="67B6D78B">
            <wp:simplePos x="0" y="0"/>
            <wp:positionH relativeFrom="margin">
              <wp:align>center</wp:align>
            </wp:positionH>
            <wp:positionV relativeFrom="paragraph">
              <wp:posOffset>-1435100</wp:posOffset>
            </wp:positionV>
            <wp:extent cx="1830705" cy="168402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1830705" cy="1684020"/>
                    </a:xfrm>
                    <a:prstGeom prst="rect">
                      <a:avLst/>
                    </a:prstGeom>
                    <a:ln/>
                  </pic:spPr>
                </pic:pic>
              </a:graphicData>
            </a:graphic>
            <wp14:sizeRelH relativeFrom="margin">
              <wp14:pctWidth>0</wp14:pctWidth>
            </wp14:sizeRelH>
            <wp14:sizeRelV relativeFrom="margin">
              <wp14:pctHeight>0</wp14:pctHeight>
            </wp14:sizeRelV>
          </wp:anchor>
        </w:drawing>
      </w:r>
    </w:p>
    <w:p w14:paraId="68865A54" w14:textId="77777777" w:rsidR="00B55EE6" w:rsidRPr="00B55EE6" w:rsidRDefault="00B55EE6" w:rsidP="00B55EE6">
      <w:pPr>
        <w:rPr>
          <w:rFonts w:ascii="Poppins" w:hAnsi="Poppins" w:cs="Poppins"/>
        </w:rPr>
      </w:pPr>
    </w:p>
    <w:p w14:paraId="3AC208E2" w14:textId="400064BF" w:rsidR="00C03D0A" w:rsidRPr="00BE4EE4" w:rsidRDefault="00000000" w:rsidP="00291E72">
      <w:pPr>
        <w:spacing w:before="240" w:after="120"/>
        <w:jc w:val="center"/>
        <w:rPr>
          <w:rFonts w:ascii="Poppins" w:eastAsia="Calibri" w:hAnsi="Poppins" w:cs="Poppins"/>
          <w:b/>
          <w:bCs/>
          <w:sz w:val="36"/>
          <w:szCs w:val="36"/>
        </w:rPr>
      </w:pPr>
      <w:r w:rsidRPr="00BE4EE4">
        <w:rPr>
          <w:rFonts w:ascii="Poppins" w:eastAsia="Calibri" w:hAnsi="Poppins" w:cs="Poppins"/>
          <w:b/>
          <w:bCs/>
          <w:sz w:val="36"/>
          <w:szCs w:val="36"/>
        </w:rPr>
        <w:t>Empowering Rural Youth: Establishing and Strengthening the Rural Youth Parliament in Sub-Saharan Africa</w:t>
      </w:r>
    </w:p>
    <w:p w14:paraId="6AAE83C8" w14:textId="77777777" w:rsidR="000E1E7A" w:rsidRPr="00BE4EE4" w:rsidRDefault="000E1E7A" w:rsidP="006D330E">
      <w:pPr>
        <w:spacing w:before="240" w:after="120"/>
        <w:jc w:val="center"/>
        <w:rPr>
          <w:rFonts w:ascii="Poppins" w:hAnsi="Poppins" w:cs="Poppins"/>
          <w:color w:val="2F6B3A"/>
        </w:rPr>
      </w:pPr>
    </w:p>
    <w:p w14:paraId="03B2F066" w14:textId="3A0CD58D" w:rsidR="00F7034B" w:rsidRPr="00BE4EE4" w:rsidRDefault="00C03D0A" w:rsidP="006D330E">
      <w:pPr>
        <w:spacing w:after="80"/>
        <w:jc w:val="center"/>
        <w:rPr>
          <w:rFonts w:ascii="Poppins" w:hAnsi="Poppins" w:cs="Poppins"/>
          <w:color w:val="2F6B3A"/>
          <w:sz w:val="44"/>
          <w:szCs w:val="44"/>
        </w:rPr>
      </w:pPr>
      <w:r w:rsidRPr="00BE4EE4">
        <w:rPr>
          <w:rFonts w:ascii="Poppins" w:eastAsia="Calibri" w:hAnsi="Poppins" w:cs="Poppins"/>
          <w:b/>
          <w:bCs/>
          <w:color w:val="2F6B3A"/>
          <w:sz w:val="44"/>
          <w:szCs w:val="44"/>
        </w:rPr>
        <w:t>EMPOWER+ Project Overview</w:t>
      </w:r>
    </w:p>
    <w:p w14:paraId="43C1DBAA" w14:textId="0237694C" w:rsidR="00C03D0A" w:rsidRDefault="00000000" w:rsidP="006D330E">
      <w:pPr>
        <w:spacing w:after="160"/>
        <w:jc w:val="center"/>
        <w:rPr>
          <w:rFonts w:ascii="Poppins" w:eastAsia="Calibri" w:hAnsi="Poppins" w:cs="Poppins"/>
          <w:i/>
          <w:iCs/>
          <w:color w:val="B7C3A1"/>
          <w:sz w:val="32"/>
          <w:szCs w:val="32"/>
        </w:rPr>
      </w:pPr>
      <w:r w:rsidRPr="00BE4EE4">
        <w:rPr>
          <w:rFonts w:ascii="Poppins" w:eastAsia="Calibri" w:hAnsi="Poppins" w:cs="Poppins"/>
          <w:i/>
          <w:iCs/>
          <w:color w:val="B7C3A1"/>
          <w:sz w:val="32"/>
          <w:szCs w:val="32"/>
        </w:rPr>
        <w:t>An Overview of SSAC Youth Participation</w:t>
      </w:r>
    </w:p>
    <w:p w14:paraId="30366712" w14:textId="77777777" w:rsidR="00BE4EE4" w:rsidRDefault="00BE4EE4" w:rsidP="006D330E">
      <w:pPr>
        <w:spacing w:before="40" w:after="40"/>
        <w:rPr>
          <w:rFonts w:ascii="Poppins" w:eastAsia="Calibri" w:hAnsi="Poppins" w:cs="Poppins"/>
          <w:i/>
          <w:iCs/>
          <w:color w:val="B7C3A1"/>
          <w:sz w:val="32"/>
          <w:szCs w:val="32"/>
        </w:rPr>
      </w:pPr>
    </w:p>
    <w:p w14:paraId="3C8456AA" w14:textId="1898926F" w:rsidR="00F7034B" w:rsidRPr="00BE4EE4" w:rsidRDefault="00000000" w:rsidP="006D330E">
      <w:pPr>
        <w:spacing w:before="40" w:after="40"/>
        <w:rPr>
          <w:rFonts w:ascii="Poppins" w:hAnsi="Poppins" w:cs="Poppins"/>
          <w:sz w:val="20"/>
          <w:szCs w:val="20"/>
        </w:rPr>
      </w:pPr>
      <w:r w:rsidRPr="00BE4EE4">
        <w:rPr>
          <w:rFonts w:ascii="Poppins" w:eastAsia="Calibri" w:hAnsi="Poppins" w:cs="Poppins"/>
          <w:b/>
          <w:bCs/>
          <w:color w:val="2F6B3A"/>
          <w:sz w:val="20"/>
          <w:szCs w:val="20"/>
        </w:rPr>
        <w:t xml:space="preserve">Programme: </w:t>
      </w:r>
      <w:r w:rsidRPr="00BE4EE4">
        <w:rPr>
          <w:rFonts w:ascii="Poppins" w:eastAsia="Calibri" w:hAnsi="Poppins" w:cs="Poppins"/>
          <w:color w:val="1A1A1A"/>
          <w:sz w:val="20"/>
          <w:szCs w:val="20"/>
        </w:rPr>
        <w:t>Erasmus+ Capacity Building in the Field of Youth in Sub-Saharan Africa</w:t>
      </w:r>
    </w:p>
    <w:p w14:paraId="3BFD9831" w14:textId="77777777" w:rsidR="00F7034B" w:rsidRPr="00BE4EE4" w:rsidRDefault="00000000" w:rsidP="006D330E">
      <w:pPr>
        <w:spacing w:before="40" w:after="40"/>
        <w:rPr>
          <w:rFonts w:ascii="Poppins" w:hAnsi="Poppins" w:cs="Poppins"/>
          <w:sz w:val="20"/>
          <w:szCs w:val="20"/>
        </w:rPr>
      </w:pPr>
      <w:r w:rsidRPr="00BE4EE4">
        <w:rPr>
          <w:rFonts w:ascii="Poppins" w:eastAsia="Calibri" w:hAnsi="Poppins" w:cs="Poppins"/>
          <w:b/>
          <w:bCs/>
          <w:color w:val="2F6B3A"/>
          <w:sz w:val="20"/>
          <w:szCs w:val="20"/>
        </w:rPr>
        <w:t xml:space="preserve">Call: </w:t>
      </w:r>
      <w:r w:rsidRPr="00BE4EE4">
        <w:rPr>
          <w:rFonts w:ascii="Poppins" w:eastAsia="Calibri" w:hAnsi="Poppins" w:cs="Poppins"/>
          <w:color w:val="1A1A1A"/>
          <w:sz w:val="20"/>
          <w:szCs w:val="20"/>
        </w:rPr>
        <w:t>ERASMUS-YOUTH-2025-CB-SSA</w:t>
      </w:r>
    </w:p>
    <w:p w14:paraId="0AC460E0" w14:textId="77777777" w:rsidR="00F7034B" w:rsidRPr="00BE4EE4" w:rsidRDefault="00000000" w:rsidP="006D330E">
      <w:pPr>
        <w:spacing w:before="40" w:after="40"/>
        <w:rPr>
          <w:rFonts w:ascii="Poppins" w:eastAsia="Calibri" w:hAnsi="Poppins" w:cs="Poppins"/>
          <w:color w:val="1A1A1A"/>
          <w:sz w:val="20"/>
          <w:szCs w:val="20"/>
        </w:rPr>
      </w:pPr>
      <w:r w:rsidRPr="00BE4EE4">
        <w:rPr>
          <w:rFonts w:ascii="Poppins" w:eastAsia="Calibri" w:hAnsi="Poppins" w:cs="Poppins"/>
          <w:b/>
          <w:bCs/>
          <w:color w:val="2F6B3A"/>
          <w:sz w:val="20"/>
          <w:szCs w:val="20"/>
        </w:rPr>
        <w:t xml:space="preserve">Project Number: </w:t>
      </w:r>
      <w:r w:rsidRPr="00BE4EE4">
        <w:rPr>
          <w:rFonts w:ascii="Poppins" w:eastAsia="Calibri" w:hAnsi="Poppins" w:cs="Poppins"/>
          <w:color w:val="1A1A1A"/>
          <w:sz w:val="20"/>
          <w:szCs w:val="20"/>
        </w:rPr>
        <w:t>101243075</w:t>
      </w:r>
    </w:p>
    <w:p w14:paraId="14FA3388" w14:textId="4C9961EE" w:rsidR="00415A56" w:rsidRPr="00BE4EE4" w:rsidRDefault="00415A56" w:rsidP="006D330E">
      <w:pPr>
        <w:spacing w:before="40" w:after="40"/>
        <w:rPr>
          <w:rFonts w:ascii="Poppins" w:hAnsi="Poppins" w:cs="Poppins"/>
          <w:sz w:val="20"/>
          <w:szCs w:val="20"/>
        </w:rPr>
      </w:pPr>
      <w:r w:rsidRPr="00BE4EE4">
        <w:rPr>
          <w:rFonts w:ascii="Poppins" w:eastAsia="Calibri" w:hAnsi="Poppins" w:cs="Poppins"/>
          <w:b/>
          <w:bCs/>
          <w:color w:val="2F6B3A"/>
          <w:sz w:val="20"/>
          <w:szCs w:val="20"/>
        </w:rPr>
        <w:t xml:space="preserve">Funded by: </w:t>
      </w:r>
      <w:r w:rsidRPr="00BE4EE4">
        <w:rPr>
          <w:rFonts w:ascii="Poppins" w:eastAsia="Calibri" w:hAnsi="Poppins" w:cs="Poppins"/>
          <w:color w:val="1A1A1A"/>
          <w:sz w:val="20"/>
          <w:szCs w:val="20"/>
        </w:rPr>
        <w:t>European Union, Erasmus+ Programme</w:t>
      </w:r>
    </w:p>
    <w:p w14:paraId="2AC53962" w14:textId="77777777" w:rsidR="00F7034B" w:rsidRPr="00BE4EE4" w:rsidRDefault="00000000" w:rsidP="006D330E">
      <w:pPr>
        <w:spacing w:before="40" w:after="40"/>
        <w:rPr>
          <w:rFonts w:ascii="Poppins" w:hAnsi="Poppins" w:cs="Poppins"/>
          <w:sz w:val="20"/>
          <w:szCs w:val="20"/>
        </w:rPr>
      </w:pPr>
      <w:r w:rsidRPr="00BE4EE4">
        <w:rPr>
          <w:rFonts w:ascii="Poppins" w:eastAsia="Calibri" w:hAnsi="Poppins" w:cs="Poppins"/>
          <w:b/>
          <w:bCs/>
          <w:color w:val="2F6B3A"/>
          <w:sz w:val="20"/>
          <w:szCs w:val="20"/>
        </w:rPr>
        <w:t xml:space="preserve">Work Package: </w:t>
      </w:r>
      <w:r w:rsidRPr="00BE4EE4">
        <w:rPr>
          <w:rFonts w:ascii="Poppins" w:eastAsia="Calibri" w:hAnsi="Poppins" w:cs="Poppins"/>
          <w:color w:val="1A1A1A"/>
          <w:sz w:val="20"/>
          <w:szCs w:val="20"/>
        </w:rPr>
        <w:t>Work Package 2: Youth Policy Framework</w:t>
      </w:r>
    </w:p>
    <w:p w14:paraId="6B372D6E" w14:textId="77777777" w:rsidR="00F7034B" w:rsidRPr="00BE4EE4" w:rsidRDefault="00000000" w:rsidP="006D330E">
      <w:pPr>
        <w:spacing w:before="40" w:after="40"/>
        <w:rPr>
          <w:rFonts w:ascii="Poppins" w:hAnsi="Poppins" w:cs="Poppins"/>
          <w:sz w:val="20"/>
          <w:szCs w:val="20"/>
        </w:rPr>
      </w:pPr>
      <w:r w:rsidRPr="00BE4EE4">
        <w:rPr>
          <w:rFonts w:ascii="Poppins" w:eastAsia="Calibri" w:hAnsi="Poppins" w:cs="Poppins"/>
          <w:b/>
          <w:bCs/>
          <w:color w:val="2F6B3A"/>
          <w:sz w:val="20"/>
          <w:szCs w:val="20"/>
        </w:rPr>
        <w:t xml:space="preserve">Deliverable: </w:t>
      </w:r>
      <w:r w:rsidRPr="00BE4EE4">
        <w:rPr>
          <w:rFonts w:ascii="Poppins" w:eastAsia="Calibri" w:hAnsi="Poppins" w:cs="Poppins"/>
          <w:color w:val="1A1A1A"/>
          <w:sz w:val="20"/>
          <w:szCs w:val="20"/>
        </w:rPr>
        <w:t>D2.1 EMPOWER+ Project Report: an overview of SSAC Youth Participation</w:t>
      </w:r>
    </w:p>
    <w:p w14:paraId="502D1B7D" w14:textId="4F776345" w:rsidR="00F7034B" w:rsidRPr="00BE4EE4" w:rsidRDefault="00000000" w:rsidP="006D330E">
      <w:pPr>
        <w:spacing w:before="40" w:after="40"/>
        <w:rPr>
          <w:rFonts w:ascii="Poppins" w:hAnsi="Poppins" w:cs="Poppins"/>
          <w:sz w:val="20"/>
          <w:szCs w:val="20"/>
        </w:rPr>
      </w:pPr>
      <w:r w:rsidRPr="00BE4EE4">
        <w:rPr>
          <w:rFonts w:ascii="Poppins" w:eastAsia="Calibri" w:hAnsi="Poppins" w:cs="Poppins"/>
          <w:b/>
          <w:bCs/>
          <w:color w:val="2F6B3A"/>
          <w:sz w:val="20"/>
          <w:szCs w:val="20"/>
        </w:rPr>
        <w:t xml:space="preserve">Partners: </w:t>
      </w:r>
      <w:r w:rsidRPr="00BE4EE4">
        <w:rPr>
          <w:rFonts w:ascii="Poppins" w:eastAsia="Calibri" w:hAnsi="Poppins" w:cs="Poppins"/>
          <w:color w:val="1A1A1A"/>
          <w:sz w:val="20"/>
          <w:szCs w:val="20"/>
        </w:rPr>
        <w:t xml:space="preserve">LAG Napoca Porolissum (RO), </w:t>
      </w:r>
      <w:r w:rsidR="002823C1" w:rsidRPr="00BE4EE4">
        <w:rPr>
          <w:rFonts w:ascii="Poppins" w:eastAsia="Calibri" w:hAnsi="Poppins" w:cs="Poppins"/>
          <w:color w:val="1A1A1A"/>
          <w:sz w:val="20"/>
          <w:szCs w:val="20"/>
        </w:rPr>
        <w:t xml:space="preserve">Connectus (GR), </w:t>
      </w:r>
      <w:r w:rsidRPr="00BE4EE4">
        <w:rPr>
          <w:rFonts w:ascii="Poppins" w:eastAsia="Calibri" w:hAnsi="Poppins" w:cs="Poppins"/>
          <w:color w:val="1A1A1A"/>
          <w:sz w:val="20"/>
          <w:szCs w:val="20"/>
        </w:rPr>
        <w:t>A Rocca (IT), MFFR Maurice (MU), SSPL (NG), TIDC (BW), JMC (BW), CEMEA (MG)</w:t>
      </w:r>
    </w:p>
    <w:p w14:paraId="6D847DA6" w14:textId="77777777" w:rsidR="00F7034B" w:rsidRPr="00BE4EE4" w:rsidRDefault="00000000" w:rsidP="006D330E">
      <w:pPr>
        <w:spacing w:before="40" w:after="40"/>
        <w:rPr>
          <w:rFonts w:ascii="Poppins" w:eastAsia="Calibri" w:hAnsi="Poppins" w:cs="Poppins"/>
          <w:color w:val="1A1A1A"/>
          <w:sz w:val="20"/>
          <w:szCs w:val="20"/>
        </w:rPr>
      </w:pPr>
      <w:r w:rsidRPr="00BE4EE4">
        <w:rPr>
          <w:rFonts w:ascii="Poppins" w:eastAsia="Calibri" w:hAnsi="Poppins" w:cs="Poppins"/>
          <w:b/>
          <w:bCs/>
          <w:color w:val="2F6B3A"/>
          <w:sz w:val="20"/>
          <w:szCs w:val="20"/>
        </w:rPr>
        <w:t xml:space="preserve">Countries: </w:t>
      </w:r>
      <w:r w:rsidRPr="00BE4EE4">
        <w:rPr>
          <w:rFonts w:ascii="Poppins" w:eastAsia="Calibri" w:hAnsi="Poppins" w:cs="Poppins"/>
          <w:color w:val="1A1A1A"/>
          <w:sz w:val="20"/>
          <w:szCs w:val="20"/>
        </w:rPr>
        <w:t>Botswana, Madagascar, Mauritius, Nigeria, Greece, Italy, Romania</w:t>
      </w:r>
    </w:p>
    <w:p w14:paraId="24B4D889" w14:textId="0C497542" w:rsidR="00415A56" w:rsidRPr="00BE4EE4" w:rsidRDefault="00415A56" w:rsidP="006D330E">
      <w:pPr>
        <w:spacing w:before="40" w:after="40"/>
        <w:rPr>
          <w:rFonts w:ascii="Poppins" w:hAnsi="Poppins" w:cs="Poppins"/>
          <w:sz w:val="20"/>
          <w:szCs w:val="20"/>
        </w:rPr>
      </w:pPr>
      <w:r w:rsidRPr="00BE4EE4">
        <w:rPr>
          <w:rFonts w:ascii="Poppins" w:eastAsia="Calibri" w:hAnsi="Poppins" w:cs="Poppins"/>
          <w:b/>
          <w:bCs/>
          <w:color w:val="2F6B3A"/>
          <w:sz w:val="20"/>
          <w:szCs w:val="20"/>
        </w:rPr>
        <w:t xml:space="preserve">Author: </w:t>
      </w:r>
      <w:r w:rsidRPr="00BE4EE4">
        <w:rPr>
          <w:rFonts w:ascii="Poppins" w:eastAsia="Calibri" w:hAnsi="Poppins" w:cs="Poppins"/>
          <w:color w:val="1A1A1A"/>
          <w:sz w:val="20"/>
          <w:szCs w:val="20"/>
        </w:rPr>
        <w:t>Connectus (GR)</w:t>
      </w:r>
    </w:p>
    <w:p w14:paraId="23C8BC23" w14:textId="1582DF1F" w:rsidR="00F7034B" w:rsidRPr="00BE4EE4" w:rsidRDefault="00000000" w:rsidP="006D330E">
      <w:pPr>
        <w:spacing w:before="40" w:after="40"/>
        <w:rPr>
          <w:rFonts w:ascii="Poppins" w:eastAsia="Calibri" w:hAnsi="Poppins" w:cs="Poppins"/>
          <w:color w:val="1A1A1A"/>
          <w:sz w:val="20"/>
          <w:szCs w:val="20"/>
        </w:rPr>
      </w:pPr>
      <w:r w:rsidRPr="00BE4EE4">
        <w:rPr>
          <w:rFonts w:ascii="Poppins" w:eastAsia="Calibri" w:hAnsi="Poppins" w:cs="Poppins"/>
          <w:b/>
          <w:bCs/>
          <w:color w:val="2F6B3A"/>
          <w:sz w:val="20"/>
          <w:szCs w:val="20"/>
        </w:rPr>
        <w:t xml:space="preserve">Version / Date: </w:t>
      </w:r>
      <w:r w:rsidRPr="00BE4EE4">
        <w:rPr>
          <w:rFonts w:ascii="Poppins" w:eastAsia="Calibri" w:hAnsi="Poppins" w:cs="Poppins"/>
          <w:color w:val="1A1A1A"/>
          <w:sz w:val="20"/>
          <w:szCs w:val="20"/>
        </w:rPr>
        <w:t xml:space="preserve">Version </w:t>
      </w:r>
      <w:r w:rsidR="008853C8">
        <w:rPr>
          <w:rFonts w:ascii="Poppins" w:eastAsia="Calibri" w:hAnsi="Poppins" w:cs="Poppins"/>
          <w:color w:val="1A1A1A"/>
          <w:sz w:val="20"/>
          <w:szCs w:val="20"/>
        </w:rPr>
        <w:t>2</w:t>
      </w:r>
      <w:r w:rsidRPr="00BE4EE4">
        <w:rPr>
          <w:rFonts w:ascii="Poppins" w:eastAsia="Calibri" w:hAnsi="Poppins" w:cs="Poppins"/>
          <w:color w:val="1A1A1A"/>
          <w:sz w:val="20"/>
          <w:szCs w:val="20"/>
        </w:rPr>
        <w:t xml:space="preserve">.0, </w:t>
      </w:r>
      <w:r w:rsidR="00E67E5D" w:rsidRPr="00BE4EE4">
        <w:rPr>
          <w:rFonts w:ascii="Poppins" w:eastAsia="Calibri" w:hAnsi="Poppins" w:cs="Poppins"/>
          <w:color w:val="1A1A1A"/>
          <w:sz w:val="20"/>
          <w:szCs w:val="20"/>
        </w:rPr>
        <w:t>June</w:t>
      </w:r>
      <w:r w:rsidRPr="00BE4EE4">
        <w:rPr>
          <w:rFonts w:ascii="Poppins" w:eastAsia="Calibri" w:hAnsi="Poppins" w:cs="Poppins"/>
          <w:color w:val="1A1A1A"/>
          <w:sz w:val="20"/>
          <w:szCs w:val="20"/>
        </w:rPr>
        <w:t xml:space="preserve"> 2026</w:t>
      </w:r>
    </w:p>
    <w:p w14:paraId="5B3CDE4B" w14:textId="40210336" w:rsidR="00F7034B" w:rsidRPr="00BE4EE4" w:rsidRDefault="00000000" w:rsidP="00BF7AE4">
      <w:pPr>
        <w:spacing w:before="120" w:after="80"/>
        <w:jc w:val="both"/>
        <w:rPr>
          <w:rFonts w:ascii="Poppins" w:hAnsi="Poppins" w:cs="Poppins"/>
        </w:rPr>
        <w:sectPr w:rsidR="00F7034B" w:rsidRPr="00BE4EE4" w:rsidSect="00A55D90">
          <w:footerReference w:type="default" r:id="rId12"/>
          <w:footerReference w:type="first" r:id="rId13"/>
          <w:pgSz w:w="11909" w:h="16834"/>
          <w:pgMar w:top="3124" w:right="1440" w:bottom="1440" w:left="849" w:header="720" w:footer="720" w:gutter="0"/>
          <w:cols w:space="720"/>
          <w:docGrid w:linePitch="299"/>
        </w:sectPr>
      </w:pPr>
      <w:r w:rsidRPr="00BE4EE4">
        <w:rPr>
          <w:rFonts w:ascii="Poppins" w:hAnsi="Poppins" w:cs="Poppins"/>
          <w:noProof/>
        </w:rPr>
        <w:drawing>
          <wp:anchor distT="0" distB="0" distL="0" distR="0" simplePos="0" relativeHeight="251658240" behindDoc="0" locked="0" layoutInCell="1" hidden="0" allowOverlap="1" wp14:anchorId="26CA340F" wp14:editId="363BF951">
            <wp:simplePos x="0" y="0"/>
            <wp:positionH relativeFrom="leftMargin">
              <wp:posOffset>0</wp:posOffset>
            </wp:positionH>
            <wp:positionV relativeFrom="page">
              <wp:posOffset>13071601</wp:posOffset>
            </wp:positionV>
            <wp:extent cx="8796528" cy="805080"/>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8796528" cy="805080"/>
                    </a:xfrm>
                    <a:prstGeom prst="rect">
                      <a:avLst/>
                    </a:prstGeom>
                    <a:ln/>
                  </pic:spPr>
                </pic:pic>
              </a:graphicData>
            </a:graphic>
          </wp:anchor>
        </w:drawing>
      </w:r>
    </w:p>
    <w:p w14:paraId="4928BA03" w14:textId="3361A8E8" w:rsidR="00F7034B" w:rsidRPr="00BE4EE4" w:rsidRDefault="00000000" w:rsidP="00997246">
      <w:pPr>
        <w:rPr>
          <w:rFonts w:ascii="Poppins" w:hAnsi="Poppins" w:cs="Poppins"/>
          <w:color w:val="2F6B3A"/>
        </w:rPr>
      </w:pPr>
      <w:r w:rsidRPr="00BE4EE4">
        <w:rPr>
          <w:rFonts w:ascii="Poppins" w:eastAsia="Calibri" w:hAnsi="Poppins" w:cs="Poppins"/>
          <w:b/>
          <w:bCs/>
          <w:color w:val="2F6B3A"/>
          <w:sz w:val="48"/>
          <w:szCs w:val="48"/>
        </w:rPr>
        <w:lastRenderedPageBreak/>
        <w:t>Table of Contents</w:t>
      </w:r>
    </w:p>
    <w:p w14:paraId="5A16A8F3" w14:textId="14022B11" w:rsidR="00666D4C" w:rsidRDefault="00000000"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r w:rsidRPr="00BE4EE4">
        <w:rPr>
          <w:rFonts w:ascii="Poppins" w:hAnsi="Poppins" w:cs="Poppins"/>
        </w:rPr>
        <w:fldChar w:fldCharType="begin"/>
      </w:r>
      <w:r w:rsidRPr="00BE4EE4">
        <w:rPr>
          <w:rFonts w:ascii="Poppins" w:hAnsi="Poppins" w:cs="Poppins"/>
        </w:rPr>
        <w:instrText xml:space="preserve"> TOC \o "1-4" \h \z \u </w:instrText>
      </w:r>
      <w:r w:rsidRPr="00BE4EE4">
        <w:rPr>
          <w:rFonts w:ascii="Poppins" w:hAnsi="Poppins" w:cs="Poppins"/>
        </w:rPr>
        <w:fldChar w:fldCharType="separate"/>
      </w:r>
      <w:hyperlink w:anchor="_Toc233200002" w:history="1">
        <w:r w:rsidR="00666D4C" w:rsidRPr="0089039C">
          <w:rPr>
            <w:rStyle w:val="Hyperlink"/>
            <w:rFonts w:ascii="Poppins" w:eastAsia="Calibri" w:hAnsi="Poppins" w:cs="Poppins"/>
            <w:noProof/>
          </w:rPr>
          <w:t>Executive Summary</w:t>
        </w:r>
        <w:r w:rsidR="00666D4C">
          <w:rPr>
            <w:noProof/>
            <w:webHidden/>
          </w:rPr>
          <w:tab/>
        </w:r>
        <w:r w:rsidR="00666D4C">
          <w:rPr>
            <w:noProof/>
            <w:webHidden/>
          </w:rPr>
          <w:fldChar w:fldCharType="begin"/>
        </w:r>
        <w:r w:rsidR="00666D4C">
          <w:rPr>
            <w:noProof/>
            <w:webHidden/>
          </w:rPr>
          <w:instrText xml:space="preserve"> PAGEREF _Toc233200002 \h </w:instrText>
        </w:r>
        <w:r w:rsidR="00666D4C">
          <w:rPr>
            <w:noProof/>
            <w:webHidden/>
          </w:rPr>
        </w:r>
        <w:r w:rsidR="00666D4C">
          <w:rPr>
            <w:noProof/>
            <w:webHidden/>
          </w:rPr>
          <w:fldChar w:fldCharType="separate"/>
        </w:r>
        <w:r w:rsidR="00666D4C">
          <w:rPr>
            <w:noProof/>
            <w:webHidden/>
          </w:rPr>
          <w:t>4</w:t>
        </w:r>
        <w:r w:rsidR="00666D4C">
          <w:rPr>
            <w:noProof/>
            <w:webHidden/>
          </w:rPr>
          <w:fldChar w:fldCharType="end"/>
        </w:r>
      </w:hyperlink>
    </w:p>
    <w:p w14:paraId="325C466C" w14:textId="16B62744"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03" w:history="1">
        <w:r w:rsidRPr="0089039C">
          <w:rPr>
            <w:rStyle w:val="Hyperlink"/>
            <w:rFonts w:ascii="Poppins" w:eastAsia="Calibri" w:hAnsi="Poppins" w:cs="Poppins"/>
            <w:noProof/>
          </w:rPr>
          <w:t>Five Key Messages</w:t>
        </w:r>
        <w:r>
          <w:rPr>
            <w:noProof/>
            <w:webHidden/>
          </w:rPr>
          <w:tab/>
        </w:r>
        <w:r>
          <w:rPr>
            <w:noProof/>
            <w:webHidden/>
          </w:rPr>
          <w:fldChar w:fldCharType="begin"/>
        </w:r>
        <w:r>
          <w:rPr>
            <w:noProof/>
            <w:webHidden/>
          </w:rPr>
          <w:instrText xml:space="preserve"> PAGEREF _Toc233200003 \h </w:instrText>
        </w:r>
        <w:r>
          <w:rPr>
            <w:noProof/>
            <w:webHidden/>
          </w:rPr>
        </w:r>
        <w:r>
          <w:rPr>
            <w:noProof/>
            <w:webHidden/>
          </w:rPr>
          <w:fldChar w:fldCharType="separate"/>
        </w:r>
        <w:r>
          <w:rPr>
            <w:noProof/>
            <w:webHidden/>
          </w:rPr>
          <w:t>4</w:t>
        </w:r>
        <w:r>
          <w:rPr>
            <w:noProof/>
            <w:webHidden/>
          </w:rPr>
          <w:fldChar w:fldCharType="end"/>
        </w:r>
      </w:hyperlink>
    </w:p>
    <w:p w14:paraId="19067667" w14:textId="43596EDF"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04" w:history="1">
        <w:r w:rsidRPr="0089039C">
          <w:rPr>
            <w:rStyle w:val="Hyperlink"/>
            <w:rFonts w:ascii="Poppins" w:eastAsia="Calibri" w:hAnsi="Poppins" w:cs="Poppins"/>
            <w:noProof/>
          </w:rPr>
          <w:t>Six Core Recommendations</w:t>
        </w:r>
        <w:r>
          <w:rPr>
            <w:noProof/>
            <w:webHidden/>
          </w:rPr>
          <w:tab/>
        </w:r>
        <w:r>
          <w:rPr>
            <w:noProof/>
            <w:webHidden/>
          </w:rPr>
          <w:fldChar w:fldCharType="begin"/>
        </w:r>
        <w:r>
          <w:rPr>
            <w:noProof/>
            <w:webHidden/>
          </w:rPr>
          <w:instrText xml:space="preserve"> PAGEREF _Toc233200004 \h </w:instrText>
        </w:r>
        <w:r>
          <w:rPr>
            <w:noProof/>
            <w:webHidden/>
          </w:rPr>
        </w:r>
        <w:r>
          <w:rPr>
            <w:noProof/>
            <w:webHidden/>
          </w:rPr>
          <w:fldChar w:fldCharType="separate"/>
        </w:r>
        <w:r>
          <w:rPr>
            <w:noProof/>
            <w:webHidden/>
          </w:rPr>
          <w:t>6</w:t>
        </w:r>
        <w:r>
          <w:rPr>
            <w:noProof/>
            <w:webHidden/>
          </w:rPr>
          <w:fldChar w:fldCharType="end"/>
        </w:r>
      </w:hyperlink>
    </w:p>
    <w:p w14:paraId="27F906BD" w14:textId="5250B111"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05" w:history="1">
        <w:r w:rsidRPr="0089039C">
          <w:rPr>
            <w:rStyle w:val="Hyperlink"/>
            <w:rFonts w:ascii="Poppins" w:eastAsia="Calibri" w:hAnsi="Poppins" w:cs="Poppins"/>
            <w:noProof/>
          </w:rPr>
          <w:t>1. Introduction</w:t>
        </w:r>
        <w:r>
          <w:rPr>
            <w:noProof/>
            <w:webHidden/>
          </w:rPr>
          <w:tab/>
        </w:r>
        <w:r>
          <w:rPr>
            <w:noProof/>
            <w:webHidden/>
          </w:rPr>
          <w:fldChar w:fldCharType="begin"/>
        </w:r>
        <w:r>
          <w:rPr>
            <w:noProof/>
            <w:webHidden/>
          </w:rPr>
          <w:instrText xml:space="preserve"> PAGEREF _Toc233200005 \h </w:instrText>
        </w:r>
        <w:r>
          <w:rPr>
            <w:noProof/>
            <w:webHidden/>
          </w:rPr>
        </w:r>
        <w:r>
          <w:rPr>
            <w:noProof/>
            <w:webHidden/>
          </w:rPr>
          <w:fldChar w:fldCharType="separate"/>
        </w:r>
        <w:r>
          <w:rPr>
            <w:noProof/>
            <w:webHidden/>
          </w:rPr>
          <w:t>8</w:t>
        </w:r>
        <w:r>
          <w:rPr>
            <w:noProof/>
            <w:webHidden/>
          </w:rPr>
          <w:fldChar w:fldCharType="end"/>
        </w:r>
      </w:hyperlink>
    </w:p>
    <w:p w14:paraId="178458C7" w14:textId="7AC05E68"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06" w:history="1">
        <w:r w:rsidRPr="0089039C">
          <w:rPr>
            <w:rStyle w:val="Hyperlink"/>
            <w:rFonts w:ascii="Poppins" w:eastAsia="Calibri" w:hAnsi="Poppins" w:cs="Poppins"/>
            <w:noProof/>
          </w:rPr>
          <w:t>1.1 The EMPOWER+ Project: Context and Rationale</w:t>
        </w:r>
        <w:r>
          <w:rPr>
            <w:noProof/>
            <w:webHidden/>
          </w:rPr>
          <w:tab/>
        </w:r>
        <w:r>
          <w:rPr>
            <w:noProof/>
            <w:webHidden/>
          </w:rPr>
          <w:fldChar w:fldCharType="begin"/>
        </w:r>
        <w:r>
          <w:rPr>
            <w:noProof/>
            <w:webHidden/>
          </w:rPr>
          <w:instrText xml:space="preserve"> PAGEREF _Toc233200006 \h </w:instrText>
        </w:r>
        <w:r>
          <w:rPr>
            <w:noProof/>
            <w:webHidden/>
          </w:rPr>
        </w:r>
        <w:r>
          <w:rPr>
            <w:noProof/>
            <w:webHidden/>
          </w:rPr>
          <w:fldChar w:fldCharType="separate"/>
        </w:r>
        <w:r>
          <w:rPr>
            <w:noProof/>
            <w:webHidden/>
          </w:rPr>
          <w:t>8</w:t>
        </w:r>
        <w:r>
          <w:rPr>
            <w:noProof/>
            <w:webHidden/>
          </w:rPr>
          <w:fldChar w:fldCharType="end"/>
        </w:r>
      </w:hyperlink>
    </w:p>
    <w:p w14:paraId="4B4E9525" w14:textId="3C41F75D"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07" w:history="1">
        <w:r w:rsidRPr="0089039C">
          <w:rPr>
            <w:rStyle w:val="Hyperlink"/>
            <w:rFonts w:ascii="Poppins" w:eastAsia="Calibri" w:hAnsi="Poppins" w:cs="Poppins"/>
            <w:noProof/>
          </w:rPr>
          <w:t>1.2 Consortium Composition</w:t>
        </w:r>
        <w:r>
          <w:rPr>
            <w:noProof/>
            <w:webHidden/>
          </w:rPr>
          <w:tab/>
        </w:r>
        <w:r>
          <w:rPr>
            <w:noProof/>
            <w:webHidden/>
          </w:rPr>
          <w:fldChar w:fldCharType="begin"/>
        </w:r>
        <w:r>
          <w:rPr>
            <w:noProof/>
            <w:webHidden/>
          </w:rPr>
          <w:instrText xml:space="preserve"> PAGEREF _Toc233200007 \h </w:instrText>
        </w:r>
        <w:r>
          <w:rPr>
            <w:noProof/>
            <w:webHidden/>
          </w:rPr>
        </w:r>
        <w:r>
          <w:rPr>
            <w:noProof/>
            <w:webHidden/>
          </w:rPr>
          <w:fldChar w:fldCharType="separate"/>
        </w:r>
        <w:r>
          <w:rPr>
            <w:noProof/>
            <w:webHidden/>
          </w:rPr>
          <w:t>9</w:t>
        </w:r>
        <w:r>
          <w:rPr>
            <w:noProof/>
            <w:webHidden/>
          </w:rPr>
          <w:fldChar w:fldCharType="end"/>
        </w:r>
      </w:hyperlink>
    </w:p>
    <w:p w14:paraId="20BC97E4" w14:textId="369185B1"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08" w:history="1">
        <w:r w:rsidRPr="0089039C">
          <w:rPr>
            <w:rStyle w:val="Hyperlink"/>
            <w:rFonts w:ascii="Poppins" w:eastAsia="Calibri" w:hAnsi="Poppins" w:cs="Poppins"/>
            <w:noProof/>
          </w:rPr>
          <w:t>1.3 Purpose and Scope of This Report</w:t>
        </w:r>
        <w:r>
          <w:rPr>
            <w:noProof/>
            <w:webHidden/>
          </w:rPr>
          <w:tab/>
        </w:r>
        <w:r>
          <w:rPr>
            <w:noProof/>
            <w:webHidden/>
          </w:rPr>
          <w:fldChar w:fldCharType="begin"/>
        </w:r>
        <w:r>
          <w:rPr>
            <w:noProof/>
            <w:webHidden/>
          </w:rPr>
          <w:instrText xml:space="preserve"> PAGEREF _Toc233200008 \h </w:instrText>
        </w:r>
        <w:r>
          <w:rPr>
            <w:noProof/>
            <w:webHidden/>
          </w:rPr>
        </w:r>
        <w:r>
          <w:rPr>
            <w:noProof/>
            <w:webHidden/>
          </w:rPr>
          <w:fldChar w:fldCharType="separate"/>
        </w:r>
        <w:r>
          <w:rPr>
            <w:noProof/>
            <w:webHidden/>
          </w:rPr>
          <w:t>9</w:t>
        </w:r>
        <w:r>
          <w:rPr>
            <w:noProof/>
            <w:webHidden/>
          </w:rPr>
          <w:fldChar w:fldCharType="end"/>
        </w:r>
      </w:hyperlink>
    </w:p>
    <w:p w14:paraId="7E1BCB6F" w14:textId="4FFC0750"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09" w:history="1">
        <w:r w:rsidRPr="0089039C">
          <w:rPr>
            <w:rStyle w:val="Hyperlink"/>
            <w:rFonts w:ascii="Poppins" w:eastAsia="Calibri" w:hAnsi="Poppins" w:cs="Poppins"/>
            <w:noProof/>
          </w:rPr>
          <w:t>1.4 Methodology of the Synthesis</w:t>
        </w:r>
        <w:r>
          <w:rPr>
            <w:noProof/>
            <w:webHidden/>
          </w:rPr>
          <w:tab/>
        </w:r>
        <w:r>
          <w:rPr>
            <w:noProof/>
            <w:webHidden/>
          </w:rPr>
          <w:fldChar w:fldCharType="begin"/>
        </w:r>
        <w:r>
          <w:rPr>
            <w:noProof/>
            <w:webHidden/>
          </w:rPr>
          <w:instrText xml:space="preserve"> PAGEREF _Toc233200009 \h </w:instrText>
        </w:r>
        <w:r>
          <w:rPr>
            <w:noProof/>
            <w:webHidden/>
          </w:rPr>
        </w:r>
        <w:r>
          <w:rPr>
            <w:noProof/>
            <w:webHidden/>
          </w:rPr>
          <w:fldChar w:fldCharType="separate"/>
        </w:r>
        <w:r>
          <w:rPr>
            <w:noProof/>
            <w:webHidden/>
          </w:rPr>
          <w:t>11</w:t>
        </w:r>
        <w:r>
          <w:rPr>
            <w:noProof/>
            <w:webHidden/>
          </w:rPr>
          <w:fldChar w:fldCharType="end"/>
        </w:r>
      </w:hyperlink>
    </w:p>
    <w:p w14:paraId="0B5857B7" w14:textId="3D10A98B"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10" w:history="1">
        <w:r w:rsidRPr="0089039C">
          <w:rPr>
            <w:rStyle w:val="Hyperlink"/>
            <w:rFonts w:ascii="Poppins" w:eastAsia="Calibri" w:hAnsi="Poppins" w:cs="Poppins"/>
            <w:noProof/>
          </w:rPr>
          <w:t>1.5 Partner Countries and Evidence Base Overview</w:t>
        </w:r>
        <w:r>
          <w:rPr>
            <w:noProof/>
            <w:webHidden/>
          </w:rPr>
          <w:tab/>
        </w:r>
        <w:r>
          <w:rPr>
            <w:noProof/>
            <w:webHidden/>
          </w:rPr>
          <w:fldChar w:fldCharType="begin"/>
        </w:r>
        <w:r>
          <w:rPr>
            <w:noProof/>
            <w:webHidden/>
          </w:rPr>
          <w:instrText xml:space="preserve"> PAGEREF _Toc233200010 \h </w:instrText>
        </w:r>
        <w:r>
          <w:rPr>
            <w:noProof/>
            <w:webHidden/>
          </w:rPr>
        </w:r>
        <w:r>
          <w:rPr>
            <w:noProof/>
            <w:webHidden/>
          </w:rPr>
          <w:fldChar w:fldCharType="separate"/>
        </w:r>
        <w:r>
          <w:rPr>
            <w:noProof/>
            <w:webHidden/>
          </w:rPr>
          <w:t>13</w:t>
        </w:r>
        <w:r>
          <w:rPr>
            <w:noProof/>
            <w:webHidden/>
          </w:rPr>
          <w:fldChar w:fldCharType="end"/>
        </w:r>
      </w:hyperlink>
    </w:p>
    <w:p w14:paraId="5729BAA8" w14:textId="4B4E8410"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11" w:history="1">
        <w:r w:rsidRPr="0089039C">
          <w:rPr>
            <w:rStyle w:val="Hyperlink"/>
            <w:rFonts w:ascii="Poppins" w:eastAsia="Calibri" w:hAnsi="Poppins" w:cs="Poppins"/>
            <w:noProof/>
          </w:rPr>
          <w:t>2. Task 2.1 Country Findings: Resources, Frameworks, and Gaps</w:t>
        </w:r>
        <w:r>
          <w:rPr>
            <w:noProof/>
            <w:webHidden/>
          </w:rPr>
          <w:tab/>
        </w:r>
        <w:r>
          <w:rPr>
            <w:noProof/>
            <w:webHidden/>
          </w:rPr>
          <w:fldChar w:fldCharType="begin"/>
        </w:r>
        <w:r>
          <w:rPr>
            <w:noProof/>
            <w:webHidden/>
          </w:rPr>
          <w:instrText xml:space="preserve"> PAGEREF _Toc233200011 \h </w:instrText>
        </w:r>
        <w:r>
          <w:rPr>
            <w:noProof/>
            <w:webHidden/>
          </w:rPr>
        </w:r>
        <w:r>
          <w:rPr>
            <w:noProof/>
            <w:webHidden/>
          </w:rPr>
          <w:fldChar w:fldCharType="separate"/>
        </w:r>
        <w:r>
          <w:rPr>
            <w:noProof/>
            <w:webHidden/>
          </w:rPr>
          <w:t>17</w:t>
        </w:r>
        <w:r>
          <w:rPr>
            <w:noProof/>
            <w:webHidden/>
          </w:rPr>
          <w:fldChar w:fldCharType="end"/>
        </w:r>
      </w:hyperlink>
    </w:p>
    <w:p w14:paraId="76EA9B31" w14:textId="45BC0F81"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12" w:history="1">
        <w:r w:rsidRPr="0089039C">
          <w:rPr>
            <w:rStyle w:val="Hyperlink"/>
            <w:rFonts w:ascii="Poppins" w:eastAsia="Calibri" w:hAnsi="Poppins" w:cs="Poppins"/>
            <w:noProof/>
          </w:rPr>
          <w:t>2.1 Sub-Saharan African Partner Countries</w:t>
        </w:r>
        <w:r>
          <w:rPr>
            <w:noProof/>
            <w:webHidden/>
          </w:rPr>
          <w:tab/>
        </w:r>
        <w:r>
          <w:rPr>
            <w:noProof/>
            <w:webHidden/>
          </w:rPr>
          <w:fldChar w:fldCharType="begin"/>
        </w:r>
        <w:r>
          <w:rPr>
            <w:noProof/>
            <w:webHidden/>
          </w:rPr>
          <w:instrText xml:space="preserve"> PAGEREF _Toc233200012 \h </w:instrText>
        </w:r>
        <w:r>
          <w:rPr>
            <w:noProof/>
            <w:webHidden/>
          </w:rPr>
        </w:r>
        <w:r>
          <w:rPr>
            <w:noProof/>
            <w:webHidden/>
          </w:rPr>
          <w:fldChar w:fldCharType="separate"/>
        </w:r>
        <w:r>
          <w:rPr>
            <w:noProof/>
            <w:webHidden/>
          </w:rPr>
          <w:t>17</w:t>
        </w:r>
        <w:r>
          <w:rPr>
            <w:noProof/>
            <w:webHidden/>
          </w:rPr>
          <w:fldChar w:fldCharType="end"/>
        </w:r>
      </w:hyperlink>
    </w:p>
    <w:p w14:paraId="215090AD" w14:textId="07CB8C85"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13" w:history="1">
        <w:r w:rsidRPr="0089039C">
          <w:rPr>
            <w:rStyle w:val="Hyperlink"/>
            <w:rFonts w:ascii="Poppins" w:eastAsia="Calibri" w:hAnsi="Poppins" w:cs="Poppins"/>
            <w:noProof/>
          </w:rPr>
          <w:t>2.1.1 Botswana</w:t>
        </w:r>
        <w:r>
          <w:rPr>
            <w:noProof/>
            <w:webHidden/>
          </w:rPr>
          <w:tab/>
        </w:r>
        <w:r>
          <w:rPr>
            <w:noProof/>
            <w:webHidden/>
          </w:rPr>
          <w:fldChar w:fldCharType="begin"/>
        </w:r>
        <w:r>
          <w:rPr>
            <w:noProof/>
            <w:webHidden/>
          </w:rPr>
          <w:instrText xml:space="preserve"> PAGEREF _Toc233200013 \h </w:instrText>
        </w:r>
        <w:r>
          <w:rPr>
            <w:noProof/>
            <w:webHidden/>
          </w:rPr>
        </w:r>
        <w:r>
          <w:rPr>
            <w:noProof/>
            <w:webHidden/>
          </w:rPr>
          <w:fldChar w:fldCharType="separate"/>
        </w:r>
        <w:r>
          <w:rPr>
            <w:noProof/>
            <w:webHidden/>
          </w:rPr>
          <w:t>17</w:t>
        </w:r>
        <w:r>
          <w:rPr>
            <w:noProof/>
            <w:webHidden/>
          </w:rPr>
          <w:fldChar w:fldCharType="end"/>
        </w:r>
      </w:hyperlink>
    </w:p>
    <w:p w14:paraId="2ACB09A7" w14:textId="27B6BF4F"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14" w:history="1">
        <w:r w:rsidRPr="0089039C">
          <w:rPr>
            <w:rStyle w:val="Hyperlink"/>
            <w:rFonts w:ascii="Poppins" w:eastAsia="Calibri" w:hAnsi="Poppins" w:cs="Poppins"/>
            <w:noProof/>
          </w:rPr>
          <w:t>2.1.2 Madagascar</w:t>
        </w:r>
        <w:r>
          <w:rPr>
            <w:noProof/>
            <w:webHidden/>
          </w:rPr>
          <w:tab/>
        </w:r>
        <w:r>
          <w:rPr>
            <w:noProof/>
            <w:webHidden/>
          </w:rPr>
          <w:fldChar w:fldCharType="begin"/>
        </w:r>
        <w:r>
          <w:rPr>
            <w:noProof/>
            <w:webHidden/>
          </w:rPr>
          <w:instrText xml:space="preserve"> PAGEREF _Toc233200014 \h </w:instrText>
        </w:r>
        <w:r>
          <w:rPr>
            <w:noProof/>
            <w:webHidden/>
          </w:rPr>
        </w:r>
        <w:r>
          <w:rPr>
            <w:noProof/>
            <w:webHidden/>
          </w:rPr>
          <w:fldChar w:fldCharType="separate"/>
        </w:r>
        <w:r>
          <w:rPr>
            <w:noProof/>
            <w:webHidden/>
          </w:rPr>
          <w:t>20</w:t>
        </w:r>
        <w:r>
          <w:rPr>
            <w:noProof/>
            <w:webHidden/>
          </w:rPr>
          <w:fldChar w:fldCharType="end"/>
        </w:r>
      </w:hyperlink>
    </w:p>
    <w:p w14:paraId="4A3E061D" w14:textId="326E83B8"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15" w:history="1">
        <w:r w:rsidRPr="0089039C">
          <w:rPr>
            <w:rStyle w:val="Hyperlink"/>
            <w:rFonts w:ascii="Poppins" w:eastAsia="Calibri" w:hAnsi="Poppins" w:cs="Poppins"/>
            <w:noProof/>
          </w:rPr>
          <w:t>2.1.3 Mauritius</w:t>
        </w:r>
        <w:r>
          <w:rPr>
            <w:noProof/>
            <w:webHidden/>
          </w:rPr>
          <w:tab/>
        </w:r>
        <w:r>
          <w:rPr>
            <w:noProof/>
            <w:webHidden/>
          </w:rPr>
          <w:fldChar w:fldCharType="begin"/>
        </w:r>
        <w:r>
          <w:rPr>
            <w:noProof/>
            <w:webHidden/>
          </w:rPr>
          <w:instrText xml:space="preserve"> PAGEREF _Toc233200015 \h </w:instrText>
        </w:r>
        <w:r>
          <w:rPr>
            <w:noProof/>
            <w:webHidden/>
          </w:rPr>
        </w:r>
        <w:r>
          <w:rPr>
            <w:noProof/>
            <w:webHidden/>
          </w:rPr>
          <w:fldChar w:fldCharType="separate"/>
        </w:r>
        <w:r>
          <w:rPr>
            <w:noProof/>
            <w:webHidden/>
          </w:rPr>
          <w:t>22</w:t>
        </w:r>
        <w:r>
          <w:rPr>
            <w:noProof/>
            <w:webHidden/>
          </w:rPr>
          <w:fldChar w:fldCharType="end"/>
        </w:r>
      </w:hyperlink>
    </w:p>
    <w:p w14:paraId="487D5416" w14:textId="62F5DDCA"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16" w:history="1">
        <w:r w:rsidRPr="0089039C">
          <w:rPr>
            <w:rStyle w:val="Hyperlink"/>
            <w:rFonts w:ascii="Poppins" w:eastAsia="Calibri" w:hAnsi="Poppins" w:cs="Poppins"/>
            <w:noProof/>
          </w:rPr>
          <w:t>2.1.4 Nigeria</w:t>
        </w:r>
        <w:r>
          <w:rPr>
            <w:noProof/>
            <w:webHidden/>
          </w:rPr>
          <w:tab/>
        </w:r>
        <w:r>
          <w:rPr>
            <w:noProof/>
            <w:webHidden/>
          </w:rPr>
          <w:fldChar w:fldCharType="begin"/>
        </w:r>
        <w:r>
          <w:rPr>
            <w:noProof/>
            <w:webHidden/>
          </w:rPr>
          <w:instrText xml:space="preserve"> PAGEREF _Toc233200016 \h </w:instrText>
        </w:r>
        <w:r>
          <w:rPr>
            <w:noProof/>
            <w:webHidden/>
          </w:rPr>
        </w:r>
        <w:r>
          <w:rPr>
            <w:noProof/>
            <w:webHidden/>
          </w:rPr>
          <w:fldChar w:fldCharType="separate"/>
        </w:r>
        <w:r>
          <w:rPr>
            <w:noProof/>
            <w:webHidden/>
          </w:rPr>
          <w:t>24</w:t>
        </w:r>
        <w:r>
          <w:rPr>
            <w:noProof/>
            <w:webHidden/>
          </w:rPr>
          <w:fldChar w:fldCharType="end"/>
        </w:r>
      </w:hyperlink>
    </w:p>
    <w:p w14:paraId="0B0FA9C3" w14:textId="7F8C4AD3"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17" w:history="1">
        <w:r w:rsidRPr="0089039C">
          <w:rPr>
            <w:rStyle w:val="Hyperlink"/>
            <w:rFonts w:ascii="Poppins" w:eastAsia="Calibri" w:hAnsi="Poppins" w:cs="Poppins"/>
            <w:noProof/>
          </w:rPr>
          <w:t>2.2 European Partner Countries</w:t>
        </w:r>
        <w:r>
          <w:rPr>
            <w:noProof/>
            <w:webHidden/>
          </w:rPr>
          <w:tab/>
        </w:r>
        <w:r>
          <w:rPr>
            <w:noProof/>
            <w:webHidden/>
          </w:rPr>
          <w:fldChar w:fldCharType="begin"/>
        </w:r>
        <w:r>
          <w:rPr>
            <w:noProof/>
            <w:webHidden/>
          </w:rPr>
          <w:instrText xml:space="preserve"> PAGEREF _Toc233200017 \h </w:instrText>
        </w:r>
        <w:r>
          <w:rPr>
            <w:noProof/>
            <w:webHidden/>
          </w:rPr>
        </w:r>
        <w:r>
          <w:rPr>
            <w:noProof/>
            <w:webHidden/>
          </w:rPr>
          <w:fldChar w:fldCharType="separate"/>
        </w:r>
        <w:r>
          <w:rPr>
            <w:noProof/>
            <w:webHidden/>
          </w:rPr>
          <w:t>26</w:t>
        </w:r>
        <w:r>
          <w:rPr>
            <w:noProof/>
            <w:webHidden/>
          </w:rPr>
          <w:fldChar w:fldCharType="end"/>
        </w:r>
      </w:hyperlink>
    </w:p>
    <w:p w14:paraId="72F0422D" w14:textId="08B03719"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18" w:history="1">
        <w:r w:rsidRPr="0089039C">
          <w:rPr>
            <w:rStyle w:val="Hyperlink"/>
            <w:rFonts w:ascii="Poppins" w:eastAsia="Calibri" w:hAnsi="Poppins" w:cs="Poppins"/>
            <w:noProof/>
          </w:rPr>
          <w:t>2.2.1 Greece</w:t>
        </w:r>
        <w:r>
          <w:rPr>
            <w:noProof/>
            <w:webHidden/>
          </w:rPr>
          <w:tab/>
        </w:r>
        <w:r>
          <w:rPr>
            <w:noProof/>
            <w:webHidden/>
          </w:rPr>
          <w:fldChar w:fldCharType="begin"/>
        </w:r>
        <w:r>
          <w:rPr>
            <w:noProof/>
            <w:webHidden/>
          </w:rPr>
          <w:instrText xml:space="preserve"> PAGEREF _Toc233200018 \h </w:instrText>
        </w:r>
        <w:r>
          <w:rPr>
            <w:noProof/>
            <w:webHidden/>
          </w:rPr>
        </w:r>
        <w:r>
          <w:rPr>
            <w:noProof/>
            <w:webHidden/>
          </w:rPr>
          <w:fldChar w:fldCharType="separate"/>
        </w:r>
        <w:r>
          <w:rPr>
            <w:noProof/>
            <w:webHidden/>
          </w:rPr>
          <w:t>26</w:t>
        </w:r>
        <w:r>
          <w:rPr>
            <w:noProof/>
            <w:webHidden/>
          </w:rPr>
          <w:fldChar w:fldCharType="end"/>
        </w:r>
      </w:hyperlink>
    </w:p>
    <w:p w14:paraId="0627BC3A" w14:textId="55D56EEC"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19" w:history="1">
        <w:r w:rsidRPr="0089039C">
          <w:rPr>
            <w:rStyle w:val="Hyperlink"/>
            <w:rFonts w:ascii="Poppins" w:eastAsia="Calibri" w:hAnsi="Poppins" w:cs="Poppins"/>
            <w:noProof/>
          </w:rPr>
          <w:t>2.2.2 Italy</w:t>
        </w:r>
        <w:r>
          <w:rPr>
            <w:noProof/>
            <w:webHidden/>
          </w:rPr>
          <w:tab/>
        </w:r>
        <w:r>
          <w:rPr>
            <w:noProof/>
            <w:webHidden/>
          </w:rPr>
          <w:fldChar w:fldCharType="begin"/>
        </w:r>
        <w:r>
          <w:rPr>
            <w:noProof/>
            <w:webHidden/>
          </w:rPr>
          <w:instrText xml:space="preserve"> PAGEREF _Toc233200019 \h </w:instrText>
        </w:r>
        <w:r>
          <w:rPr>
            <w:noProof/>
            <w:webHidden/>
          </w:rPr>
        </w:r>
        <w:r>
          <w:rPr>
            <w:noProof/>
            <w:webHidden/>
          </w:rPr>
          <w:fldChar w:fldCharType="separate"/>
        </w:r>
        <w:r>
          <w:rPr>
            <w:noProof/>
            <w:webHidden/>
          </w:rPr>
          <w:t>28</w:t>
        </w:r>
        <w:r>
          <w:rPr>
            <w:noProof/>
            <w:webHidden/>
          </w:rPr>
          <w:fldChar w:fldCharType="end"/>
        </w:r>
      </w:hyperlink>
    </w:p>
    <w:p w14:paraId="3D6CA48F" w14:textId="2C387679"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20" w:history="1">
        <w:r w:rsidRPr="0089039C">
          <w:rPr>
            <w:rStyle w:val="Hyperlink"/>
            <w:rFonts w:ascii="Poppins" w:eastAsia="Calibri" w:hAnsi="Poppins" w:cs="Poppins"/>
            <w:noProof/>
          </w:rPr>
          <w:t>2.2.3 Romania</w:t>
        </w:r>
        <w:r>
          <w:rPr>
            <w:noProof/>
            <w:webHidden/>
          </w:rPr>
          <w:tab/>
        </w:r>
        <w:r>
          <w:rPr>
            <w:noProof/>
            <w:webHidden/>
          </w:rPr>
          <w:fldChar w:fldCharType="begin"/>
        </w:r>
        <w:r>
          <w:rPr>
            <w:noProof/>
            <w:webHidden/>
          </w:rPr>
          <w:instrText xml:space="preserve"> PAGEREF _Toc233200020 \h </w:instrText>
        </w:r>
        <w:r>
          <w:rPr>
            <w:noProof/>
            <w:webHidden/>
          </w:rPr>
        </w:r>
        <w:r>
          <w:rPr>
            <w:noProof/>
            <w:webHidden/>
          </w:rPr>
          <w:fldChar w:fldCharType="separate"/>
        </w:r>
        <w:r>
          <w:rPr>
            <w:noProof/>
            <w:webHidden/>
          </w:rPr>
          <w:t>30</w:t>
        </w:r>
        <w:r>
          <w:rPr>
            <w:noProof/>
            <w:webHidden/>
          </w:rPr>
          <w:fldChar w:fldCharType="end"/>
        </w:r>
      </w:hyperlink>
    </w:p>
    <w:p w14:paraId="0BF1D13A" w14:textId="7E105093"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21" w:history="1">
        <w:r w:rsidRPr="0089039C">
          <w:rPr>
            <w:rStyle w:val="Hyperlink"/>
            <w:rFonts w:ascii="Poppins" w:eastAsia="Calibri" w:hAnsi="Poppins" w:cs="Poppins"/>
            <w:noProof/>
          </w:rPr>
          <w:t>3. Task 2.2 Country Findings: Participation Tools and Stakeholder Evidence</w:t>
        </w:r>
        <w:r>
          <w:rPr>
            <w:noProof/>
            <w:webHidden/>
          </w:rPr>
          <w:tab/>
        </w:r>
        <w:r>
          <w:rPr>
            <w:noProof/>
            <w:webHidden/>
          </w:rPr>
          <w:fldChar w:fldCharType="begin"/>
        </w:r>
        <w:r>
          <w:rPr>
            <w:noProof/>
            <w:webHidden/>
          </w:rPr>
          <w:instrText xml:space="preserve"> PAGEREF _Toc233200021 \h </w:instrText>
        </w:r>
        <w:r>
          <w:rPr>
            <w:noProof/>
            <w:webHidden/>
          </w:rPr>
        </w:r>
        <w:r>
          <w:rPr>
            <w:noProof/>
            <w:webHidden/>
          </w:rPr>
          <w:fldChar w:fldCharType="separate"/>
        </w:r>
        <w:r>
          <w:rPr>
            <w:noProof/>
            <w:webHidden/>
          </w:rPr>
          <w:t>32</w:t>
        </w:r>
        <w:r>
          <w:rPr>
            <w:noProof/>
            <w:webHidden/>
          </w:rPr>
          <w:fldChar w:fldCharType="end"/>
        </w:r>
      </w:hyperlink>
    </w:p>
    <w:p w14:paraId="56F4584A" w14:textId="5E5C3759"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22" w:history="1">
        <w:r w:rsidRPr="0089039C">
          <w:rPr>
            <w:rStyle w:val="Hyperlink"/>
            <w:rFonts w:ascii="Poppins" w:eastAsia="Calibri" w:hAnsi="Poppins" w:cs="Poppins"/>
            <w:noProof/>
          </w:rPr>
          <w:t>3.1 Sub-Saharan African Countries</w:t>
        </w:r>
        <w:r>
          <w:rPr>
            <w:noProof/>
            <w:webHidden/>
          </w:rPr>
          <w:tab/>
        </w:r>
        <w:r>
          <w:rPr>
            <w:noProof/>
            <w:webHidden/>
          </w:rPr>
          <w:fldChar w:fldCharType="begin"/>
        </w:r>
        <w:r>
          <w:rPr>
            <w:noProof/>
            <w:webHidden/>
          </w:rPr>
          <w:instrText xml:space="preserve"> PAGEREF _Toc233200022 \h </w:instrText>
        </w:r>
        <w:r>
          <w:rPr>
            <w:noProof/>
            <w:webHidden/>
          </w:rPr>
        </w:r>
        <w:r>
          <w:rPr>
            <w:noProof/>
            <w:webHidden/>
          </w:rPr>
          <w:fldChar w:fldCharType="separate"/>
        </w:r>
        <w:r>
          <w:rPr>
            <w:noProof/>
            <w:webHidden/>
          </w:rPr>
          <w:t>32</w:t>
        </w:r>
        <w:r>
          <w:rPr>
            <w:noProof/>
            <w:webHidden/>
          </w:rPr>
          <w:fldChar w:fldCharType="end"/>
        </w:r>
      </w:hyperlink>
    </w:p>
    <w:p w14:paraId="76EBEDE4" w14:textId="0EC6B9F9"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23" w:history="1">
        <w:r w:rsidRPr="0089039C">
          <w:rPr>
            <w:rStyle w:val="Hyperlink"/>
            <w:rFonts w:ascii="Poppins" w:eastAsia="Calibri" w:hAnsi="Poppins" w:cs="Poppins"/>
            <w:noProof/>
          </w:rPr>
          <w:t>3.1.1 Botswana</w:t>
        </w:r>
        <w:r>
          <w:rPr>
            <w:noProof/>
            <w:webHidden/>
          </w:rPr>
          <w:tab/>
        </w:r>
        <w:r>
          <w:rPr>
            <w:noProof/>
            <w:webHidden/>
          </w:rPr>
          <w:fldChar w:fldCharType="begin"/>
        </w:r>
        <w:r>
          <w:rPr>
            <w:noProof/>
            <w:webHidden/>
          </w:rPr>
          <w:instrText xml:space="preserve"> PAGEREF _Toc233200023 \h </w:instrText>
        </w:r>
        <w:r>
          <w:rPr>
            <w:noProof/>
            <w:webHidden/>
          </w:rPr>
        </w:r>
        <w:r>
          <w:rPr>
            <w:noProof/>
            <w:webHidden/>
          </w:rPr>
          <w:fldChar w:fldCharType="separate"/>
        </w:r>
        <w:r>
          <w:rPr>
            <w:noProof/>
            <w:webHidden/>
          </w:rPr>
          <w:t>32</w:t>
        </w:r>
        <w:r>
          <w:rPr>
            <w:noProof/>
            <w:webHidden/>
          </w:rPr>
          <w:fldChar w:fldCharType="end"/>
        </w:r>
      </w:hyperlink>
    </w:p>
    <w:p w14:paraId="541229F4" w14:textId="419D8CA9"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24" w:history="1">
        <w:r w:rsidRPr="0089039C">
          <w:rPr>
            <w:rStyle w:val="Hyperlink"/>
            <w:rFonts w:ascii="Poppins" w:eastAsia="Calibri" w:hAnsi="Poppins" w:cs="Poppins"/>
            <w:noProof/>
          </w:rPr>
          <w:t>3.1.2 Madagascar</w:t>
        </w:r>
        <w:r>
          <w:rPr>
            <w:noProof/>
            <w:webHidden/>
          </w:rPr>
          <w:tab/>
        </w:r>
        <w:r>
          <w:rPr>
            <w:noProof/>
            <w:webHidden/>
          </w:rPr>
          <w:fldChar w:fldCharType="begin"/>
        </w:r>
        <w:r>
          <w:rPr>
            <w:noProof/>
            <w:webHidden/>
          </w:rPr>
          <w:instrText xml:space="preserve"> PAGEREF _Toc233200024 \h </w:instrText>
        </w:r>
        <w:r>
          <w:rPr>
            <w:noProof/>
            <w:webHidden/>
          </w:rPr>
        </w:r>
        <w:r>
          <w:rPr>
            <w:noProof/>
            <w:webHidden/>
          </w:rPr>
          <w:fldChar w:fldCharType="separate"/>
        </w:r>
        <w:r>
          <w:rPr>
            <w:noProof/>
            <w:webHidden/>
          </w:rPr>
          <w:t>35</w:t>
        </w:r>
        <w:r>
          <w:rPr>
            <w:noProof/>
            <w:webHidden/>
          </w:rPr>
          <w:fldChar w:fldCharType="end"/>
        </w:r>
      </w:hyperlink>
    </w:p>
    <w:p w14:paraId="57E065A8" w14:textId="68CB75D5"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25" w:history="1">
        <w:r w:rsidRPr="0089039C">
          <w:rPr>
            <w:rStyle w:val="Hyperlink"/>
            <w:rFonts w:ascii="Poppins" w:eastAsia="Calibri" w:hAnsi="Poppins" w:cs="Poppins"/>
            <w:noProof/>
          </w:rPr>
          <w:t>3.1.3 Mauritius</w:t>
        </w:r>
        <w:r>
          <w:rPr>
            <w:noProof/>
            <w:webHidden/>
          </w:rPr>
          <w:tab/>
        </w:r>
        <w:r>
          <w:rPr>
            <w:noProof/>
            <w:webHidden/>
          </w:rPr>
          <w:fldChar w:fldCharType="begin"/>
        </w:r>
        <w:r>
          <w:rPr>
            <w:noProof/>
            <w:webHidden/>
          </w:rPr>
          <w:instrText xml:space="preserve"> PAGEREF _Toc233200025 \h </w:instrText>
        </w:r>
        <w:r>
          <w:rPr>
            <w:noProof/>
            <w:webHidden/>
          </w:rPr>
        </w:r>
        <w:r>
          <w:rPr>
            <w:noProof/>
            <w:webHidden/>
          </w:rPr>
          <w:fldChar w:fldCharType="separate"/>
        </w:r>
        <w:r>
          <w:rPr>
            <w:noProof/>
            <w:webHidden/>
          </w:rPr>
          <w:t>37</w:t>
        </w:r>
        <w:r>
          <w:rPr>
            <w:noProof/>
            <w:webHidden/>
          </w:rPr>
          <w:fldChar w:fldCharType="end"/>
        </w:r>
      </w:hyperlink>
    </w:p>
    <w:p w14:paraId="56A8CD13" w14:textId="6BC17575"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26" w:history="1">
        <w:r w:rsidRPr="0089039C">
          <w:rPr>
            <w:rStyle w:val="Hyperlink"/>
            <w:rFonts w:ascii="Poppins" w:eastAsia="Calibri" w:hAnsi="Poppins" w:cs="Poppins"/>
            <w:noProof/>
          </w:rPr>
          <w:t>3.1.4 Nigeria</w:t>
        </w:r>
        <w:r>
          <w:rPr>
            <w:noProof/>
            <w:webHidden/>
          </w:rPr>
          <w:tab/>
        </w:r>
        <w:r>
          <w:rPr>
            <w:noProof/>
            <w:webHidden/>
          </w:rPr>
          <w:fldChar w:fldCharType="begin"/>
        </w:r>
        <w:r>
          <w:rPr>
            <w:noProof/>
            <w:webHidden/>
          </w:rPr>
          <w:instrText xml:space="preserve"> PAGEREF _Toc233200026 \h </w:instrText>
        </w:r>
        <w:r>
          <w:rPr>
            <w:noProof/>
            <w:webHidden/>
          </w:rPr>
        </w:r>
        <w:r>
          <w:rPr>
            <w:noProof/>
            <w:webHidden/>
          </w:rPr>
          <w:fldChar w:fldCharType="separate"/>
        </w:r>
        <w:r>
          <w:rPr>
            <w:noProof/>
            <w:webHidden/>
          </w:rPr>
          <w:t>39</w:t>
        </w:r>
        <w:r>
          <w:rPr>
            <w:noProof/>
            <w:webHidden/>
          </w:rPr>
          <w:fldChar w:fldCharType="end"/>
        </w:r>
      </w:hyperlink>
    </w:p>
    <w:p w14:paraId="24D03316" w14:textId="32C723C4"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27" w:history="1">
        <w:r w:rsidRPr="0089039C">
          <w:rPr>
            <w:rStyle w:val="Hyperlink"/>
            <w:rFonts w:ascii="Poppins" w:eastAsia="Calibri" w:hAnsi="Poppins" w:cs="Poppins"/>
            <w:noProof/>
          </w:rPr>
          <w:t>3.2 European Partner Countries</w:t>
        </w:r>
        <w:r>
          <w:rPr>
            <w:noProof/>
            <w:webHidden/>
          </w:rPr>
          <w:tab/>
        </w:r>
        <w:r>
          <w:rPr>
            <w:noProof/>
            <w:webHidden/>
          </w:rPr>
          <w:fldChar w:fldCharType="begin"/>
        </w:r>
        <w:r>
          <w:rPr>
            <w:noProof/>
            <w:webHidden/>
          </w:rPr>
          <w:instrText xml:space="preserve"> PAGEREF _Toc233200027 \h </w:instrText>
        </w:r>
        <w:r>
          <w:rPr>
            <w:noProof/>
            <w:webHidden/>
          </w:rPr>
        </w:r>
        <w:r>
          <w:rPr>
            <w:noProof/>
            <w:webHidden/>
          </w:rPr>
          <w:fldChar w:fldCharType="separate"/>
        </w:r>
        <w:r>
          <w:rPr>
            <w:noProof/>
            <w:webHidden/>
          </w:rPr>
          <w:t>41</w:t>
        </w:r>
        <w:r>
          <w:rPr>
            <w:noProof/>
            <w:webHidden/>
          </w:rPr>
          <w:fldChar w:fldCharType="end"/>
        </w:r>
      </w:hyperlink>
    </w:p>
    <w:p w14:paraId="62449D05" w14:textId="3CB976EE"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28" w:history="1">
        <w:r w:rsidRPr="0089039C">
          <w:rPr>
            <w:rStyle w:val="Hyperlink"/>
            <w:rFonts w:ascii="Poppins" w:eastAsia="Calibri" w:hAnsi="Poppins" w:cs="Poppins"/>
            <w:noProof/>
          </w:rPr>
          <w:t>3.2.1 Greece</w:t>
        </w:r>
        <w:r>
          <w:rPr>
            <w:noProof/>
            <w:webHidden/>
          </w:rPr>
          <w:tab/>
        </w:r>
        <w:r>
          <w:rPr>
            <w:noProof/>
            <w:webHidden/>
          </w:rPr>
          <w:fldChar w:fldCharType="begin"/>
        </w:r>
        <w:r>
          <w:rPr>
            <w:noProof/>
            <w:webHidden/>
          </w:rPr>
          <w:instrText xml:space="preserve"> PAGEREF _Toc233200028 \h </w:instrText>
        </w:r>
        <w:r>
          <w:rPr>
            <w:noProof/>
            <w:webHidden/>
          </w:rPr>
        </w:r>
        <w:r>
          <w:rPr>
            <w:noProof/>
            <w:webHidden/>
          </w:rPr>
          <w:fldChar w:fldCharType="separate"/>
        </w:r>
        <w:r>
          <w:rPr>
            <w:noProof/>
            <w:webHidden/>
          </w:rPr>
          <w:t>41</w:t>
        </w:r>
        <w:r>
          <w:rPr>
            <w:noProof/>
            <w:webHidden/>
          </w:rPr>
          <w:fldChar w:fldCharType="end"/>
        </w:r>
      </w:hyperlink>
    </w:p>
    <w:p w14:paraId="7D48B456" w14:textId="511D8BE3"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29" w:history="1">
        <w:r w:rsidRPr="0089039C">
          <w:rPr>
            <w:rStyle w:val="Hyperlink"/>
            <w:rFonts w:ascii="Poppins" w:eastAsia="Calibri" w:hAnsi="Poppins" w:cs="Poppins"/>
            <w:noProof/>
          </w:rPr>
          <w:t>3.2.2 Italy</w:t>
        </w:r>
        <w:r>
          <w:rPr>
            <w:noProof/>
            <w:webHidden/>
          </w:rPr>
          <w:tab/>
        </w:r>
        <w:r>
          <w:rPr>
            <w:noProof/>
            <w:webHidden/>
          </w:rPr>
          <w:fldChar w:fldCharType="begin"/>
        </w:r>
        <w:r>
          <w:rPr>
            <w:noProof/>
            <w:webHidden/>
          </w:rPr>
          <w:instrText xml:space="preserve"> PAGEREF _Toc233200029 \h </w:instrText>
        </w:r>
        <w:r>
          <w:rPr>
            <w:noProof/>
            <w:webHidden/>
          </w:rPr>
        </w:r>
        <w:r>
          <w:rPr>
            <w:noProof/>
            <w:webHidden/>
          </w:rPr>
          <w:fldChar w:fldCharType="separate"/>
        </w:r>
        <w:r>
          <w:rPr>
            <w:noProof/>
            <w:webHidden/>
          </w:rPr>
          <w:t>43</w:t>
        </w:r>
        <w:r>
          <w:rPr>
            <w:noProof/>
            <w:webHidden/>
          </w:rPr>
          <w:fldChar w:fldCharType="end"/>
        </w:r>
      </w:hyperlink>
    </w:p>
    <w:p w14:paraId="693B3A2E" w14:textId="27906C3B"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30" w:history="1">
        <w:r w:rsidRPr="0089039C">
          <w:rPr>
            <w:rStyle w:val="Hyperlink"/>
            <w:rFonts w:ascii="Poppins" w:eastAsia="Calibri" w:hAnsi="Poppins" w:cs="Poppins"/>
            <w:noProof/>
          </w:rPr>
          <w:t>3.2.3 Romania</w:t>
        </w:r>
        <w:r>
          <w:rPr>
            <w:noProof/>
            <w:webHidden/>
          </w:rPr>
          <w:tab/>
        </w:r>
        <w:r>
          <w:rPr>
            <w:noProof/>
            <w:webHidden/>
          </w:rPr>
          <w:fldChar w:fldCharType="begin"/>
        </w:r>
        <w:r>
          <w:rPr>
            <w:noProof/>
            <w:webHidden/>
          </w:rPr>
          <w:instrText xml:space="preserve"> PAGEREF _Toc233200030 \h </w:instrText>
        </w:r>
        <w:r>
          <w:rPr>
            <w:noProof/>
            <w:webHidden/>
          </w:rPr>
        </w:r>
        <w:r>
          <w:rPr>
            <w:noProof/>
            <w:webHidden/>
          </w:rPr>
          <w:fldChar w:fldCharType="separate"/>
        </w:r>
        <w:r>
          <w:rPr>
            <w:noProof/>
            <w:webHidden/>
          </w:rPr>
          <w:t>44</w:t>
        </w:r>
        <w:r>
          <w:rPr>
            <w:noProof/>
            <w:webHidden/>
          </w:rPr>
          <w:fldChar w:fldCharType="end"/>
        </w:r>
      </w:hyperlink>
    </w:p>
    <w:p w14:paraId="2033E921" w14:textId="6B0C8E61"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31" w:history="1">
        <w:r w:rsidRPr="0089039C">
          <w:rPr>
            <w:rStyle w:val="Hyperlink"/>
            <w:rFonts w:ascii="Poppins" w:eastAsia="Calibri" w:hAnsi="Poppins" w:cs="Poppins"/>
            <w:noProof/>
          </w:rPr>
          <w:t>4. Comparative Analysis: Cross-Country Patterns and Transferable Insights</w:t>
        </w:r>
        <w:r>
          <w:rPr>
            <w:noProof/>
            <w:webHidden/>
          </w:rPr>
          <w:tab/>
        </w:r>
        <w:r>
          <w:rPr>
            <w:noProof/>
            <w:webHidden/>
          </w:rPr>
          <w:fldChar w:fldCharType="begin"/>
        </w:r>
        <w:r>
          <w:rPr>
            <w:noProof/>
            <w:webHidden/>
          </w:rPr>
          <w:instrText xml:space="preserve"> PAGEREF _Toc233200031 \h </w:instrText>
        </w:r>
        <w:r>
          <w:rPr>
            <w:noProof/>
            <w:webHidden/>
          </w:rPr>
        </w:r>
        <w:r>
          <w:rPr>
            <w:noProof/>
            <w:webHidden/>
          </w:rPr>
          <w:fldChar w:fldCharType="separate"/>
        </w:r>
        <w:r>
          <w:rPr>
            <w:noProof/>
            <w:webHidden/>
          </w:rPr>
          <w:t>47</w:t>
        </w:r>
        <w:r>
          <w:rPr>
            <w:noProof/>
            <w:webHidden/>
          </w:rPr>
          <w:fldChar w:fldCharType="end"/>
        </w:r>
      </w:hyperlink>
    </w:p>
    <w:p w14:paraId="0283587B" w14:textId="4CE9D206"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32" w:history="1">
        <w:r w:rsidRPr="0089039C">
          <w:rPr>
            <w:rStyle w:val="Hyperlink"/>
            <w:rFonts w:ascii="Poppins" w:eastAsia="Calibri" w:hAnsi="Poppins" w:cs="Poppins"/>
            <w:noProof/>
          </w:rPr>
          <w:t>4.1 Cross-Country Comparison</w:t>
        </w:r>
        <w:r>
          <w:rPr>
            <w:noProof/>
            <w:webHidden/>
          </w:rPr>
          <w:tab/>
        </w:r>
        <w:r>
          <w:rPr>
            <w:noProof/>
            <w:webHidden/>
          </w:rPr>
          <w:fldChar w:fldCharType="begin"/>
        </w:r>
        <w:r>
          <w:rPr>
            <w:noProof/>
            <w:webHidden/>
          </w:rPr>
          <w:instrText xml:space="preserve"> PAGEREF _Toc233200032 \h </w:instrText>
        </w:r>
        <w:r>
          <w:rPr>
            <w:noProof/>
            <w:webHidden/>
          </w:rPr>
        </w:r>
        <w:r>
          <w:rPr>
            <w:noProof/>
            <w:webHidden/>
          </w:rPr>
          <w:fldChar w:fldCharType="separate"/>
        </w:r>
        <w:r>
          <w:rPr>
            <w:noProof/>
            <w:webHidden/>
          </w:rPr>
          <w:t>47</w:t>
        </w:r>
        <w:r>
          <w:rPr>
            <w:noProof/>
            <w:webHidden/>
          </w:rPr>
          <w:fldChar w:fldCharType="end"/>
        </w:r>
      </w:hyperlink>
    </w:p>
    <w:p w14:paraId="03E610B9" w14:textId="2B181465"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33" w:history="1">
        <w:r w:rsidRPr="0089039C">
          <w:rPr>
            <w:rStyle w:val="Hyperlink"/>
            <w:rFonts w:ascii="Poppins" w:eastAsia="Calibri" w:hAnsi="Poppins" w:cs="Poppins"/>
            <w:noProof/>
          </w:rPr>
          <w:t>4.1.1 Availability and Accessibility of Resources</w:t>
        </w:r>
        <w:r>
          <w:rPr>
            <w:noProof/>
            <w:webHidden/>
          </w:rPr>
          <w:tab/>
        </w:r>
        <w:r>
          <w:rPr>
            <w:noProof/>
            <w:webHidden/>
          </w:rPr>
          <w:fldChar w:fldCharType="begin"/>
        </w:r>
        <w:r>
          <w:rPr>
            <w:noProof/>
            <w:webHidden/>
          </w:rPr>
          <w:instrText xml:space="preserve"> PAGEREF _Toc233200033 \h </w:instrText>
        </w:r>
        <w:r>
          <w:rPr>
            <w:noProof/>
            <w:webHidden/>
          </w:rPr>
        </w:r>
        <w:r>
          <w:rPr>
            <w:noProof/>
            <w:webHidden/>
          </w:rPr>
          <w:fldChar w:fldCharType="separate"/>
        </w:r>
        <w:r>
          <w:rPr>
            <w:noProof/>
            <w:webHidden/>
          </w:rPr>
          <w:t>47</w:t>
        </w:r>
        <w:r>
          <w:rPr>
            <w:noProof/>
            <w:webHidden/>
          </w:rPr>
          <w:fldChar w:fldCharType="end"/>
        </w:r>
      </w:hyperlink>
    </w:p>
    <w:p w14:paraId="2C1C38DE" w14:textId="22E12448"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34" w:history="1">
        <w:r w:rsidRPr="0089039C">
          <w:rPr>
            <w:rStyle w:val="Hyperlink"/>
            <w:rFonts w:ascii="Poppins" w:eastAsia="Calibri" w:hAnsi="Poppins" w:cs="Poppins"/>
            <w:noProof/>
          </w:rPr>
          <w:t>4.1.2 Legal and Policy Frameworks: Permissive Without Prescriptive</w:t>
        </w:r>
        <w:r>
          <w:rPr>
            <w:noProof/>
            <w:webHidden/>
          </w:rPr>
          <w:tab/>
        </w:r>
        <w:r>
          <w:rPr>
            <w:noProof/>
            <w:webHidden/>
          </w:rPr>
          <w:fldChar w:fldCharType="begin"/>
        </w:r>
        <w:r>
          <w:rPr>
            <w:noProof/>
            <w:webHidden/>
          </w:rPr>
          <w:instrText xml:space="preserve"> PAGEREF _Toc233200034 \h </w:instrText>
        </w:r>
        <w:r>
          <w:rPr>
            <w:noProof/>
            <w:webHidden/>
          </w:rPr>
        </w:r>
        <w:r>
          <w:rPr>
            <w:noProof/>
            <w:webHidden/>
          </w:rPr>
          <w:fldChar w:fldCharType="separate"/>
        </w:r>
        <w:r>
          <w:rPr>
            <w:noProof/>
            <w:webHidden/>
          </w:rPr>
          <w:t>48</w:t>
        </w:r>
        <w:r>
          <w:rPr>
            <w:noProof/>
            <w:webHidden/>
          </w:rPr>
          <w:fldChar w:fldCharType="end"/>
        </w:r>
      </w:hyperlink>
    </w:p>
    <w:p w14:paraId="51BE54D6" w14:textId="672A1349" w:rsidR="00666D4C" w:rsidRDefault="00666D4C" w:rsidP="00CC2B04">
      <w:pPr>
        <w:pStyle w:val="TOC3"/>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35" w:history="1">
        <w:r w:rsidRPr="0089039C">
          <w:rPr>
            <w:rStyle w:val="Hyperlink"/>
            <w:rFonts w:ascii="Poppins" w:eastAsia="Calibri" w:hAnsi="Poppins" w:cs="Poppins"/>
            <w:noProof/>
          </w:rPr>
          <w:t>4.1.3 Universal Gaps: Present in All Seven Countries</w:t>
        </w:r>
        <w:r>
          <w:rPr>
            <w:noProof/>
            <w:webHidden/>
          </w:rPr>
          <w:tab/>
        </w:r>
        <w:r>
          <w:rPr>
            <w:noProof/>
            <w:webHidden/>
          </w:rPr>
          <w:fldChar w:fldCharType="begin"/>
        </w:r>
        <w:r>
          <w:rPr>
            <w:noProof/>
            <w:webHidden/>
          </w:rPr>
          <w:instrText xml:space="preserve"> PAGEREF _Toc233200035 \h </w:instrText>
        </w:r>
        <w:r>
          <w:rPr>
            <w:noProof/>
            <w:webHidden/>
          </w:rPr>
        </w:r>
        <w:r>
          <w:rPr>
            <w:noProof/>
            <w:webHidden/>
          </w:rPr>
          <w:fldChar w:fldCharType="separate"/>
        </w:r>
        <w:r>
          <w:rPr>
            <w:noProof/>
            <w:webHidden/>
          </w:rPr>
          <w:t>48</w:t>
        </w:r>
        <w:r>
          <w:rPr>
            <w:noProof/>
            <w:webHidden/>
          </w:rPr>
          <w:fldChar w:fldCharType="end"/>
        </w:r>
      </w:hyperlink>
    </w:p>
    <w:p w14:paraId="0DC9692E" w14:textId="3CA1D05B"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36" w:history="1">
        <w:r w:rsidRPr="0089039C">
          <w:rPr>
            <w:rStyle w:val="Hyperlink"/>
            <w:rFonts w:ascii="Poppins" w:eastAsia="Calibri" w:hAnsi="Poppins" w:cs="Poppins"/>
            <w:noProof/>
          </w:rPr>
          <w:t>4.2 Sub-Saharan Africa: In-Group Analysis</w:t>
        </w:r>
        <w:r>
          <w:rPr>
            <w:noProof/>
            <w:webHidden/>
          </w:rPr>
          <w:tab/>
        </w:r>
        <w:r>
          <w:rPr>
            <w:noProof/>
            <w:webHidden/>
          </w:rPr>
          <w:fldChar w:fldCharType="begin"/>
        </w:r>
        <w:r>
          <w:rPr>
            <w:noProof/>
            <w:webHidden/>
          </w:rPr>
          <w:instrText xml:space="preserve"> PAGEREF _Toc233200036 \h </w:instrText>
        </w:r>
        <w:r>
          <w:rPr>
            <w:noProof/>
            <w:webHidden/>
          </w:rPr>
        </w:r>
        <w:r>
          <w:rPr>
            <w:noProof/>
            <w:webHidden/>
          </w:rPr>
          <w:fldChar w:fldCharType="separate"/>
        </w:r>
        <w:r>
          <w:rPr>
            <w:noProof/>
            <w:webHidden/>
          </w:rPr>
          <w:t>49</w:t>
        </w:r>
        <w:r>
          <w:rPr>
            <w:noProof/>
            <w:webHidden/>
          </w:rPr>
          <w:fldChar w:fldCharType="end"/>
        </w:r>
      </w:hyperlink>
    </w:p>
    <w:p w14:paraId="02D4B3D3" w14:textId="220999CB"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37" w:history="1">
        <w:r w:rsidRPr="0089039C">
          <w:rPr>
            <w:rStyle w:val="Hyperlink"/>
            <w:rFonts w:ascii="Poppins" w:eastAsia="Calibri" w:hAnsi="Poppins" w:cs="Poppins"/>
            <w:noProof/>
          </w:rPr>
          <w:t>4.3 Europe: In-Group Analysis</w:t>
        </w:r>
        <w:r>
          <w:rPr>
            <w:noProof/>
            <w:webHidden/>
          </w:rPr>
          <w:tab/>
        </w:r>
        <w:r>
          <w:rPr>
            <w:noProof/>
            <w:webHidden/>
          </w:rPr>
          <w:fldChar w:fldCharType="begin"/>
        </w:r>
        <w:r>
          <w:rPr>
            <w:noProof/>
            <w:webHidden/>
          </w:rPr>
          <w:instrText xml:space="preserve"> PAGEREF _Toc233200037 \h </w:instrText>
        </w:r>
        <w:r>
          <w:rPr>
            <w:noProof/>
            <w:webHidden/>
          </w:rPr>
        </w:r>
        <w:r>
          <w:rPr>
            <w:noProof/>
            <w:webHidden/>
          </w:rPr>
          <w:fldChar w:fldCharType="separate"/>
        </w:r>
        <w:r>
          <w:rPr>
            <w:noProof/>
            <w:webHidden/>
          </w:rPr>
          <w:t>51</w:t>
        </w:r>
        <w:r>
          <w:rPr>
            <w:noProof/>
            <w:webHidden/>
          </w:rPr>
          <w:fldChar w:fldCharType="end"/>
        </w:r>
      </w:hyperlink>
    </w:p>
    <w:p w14:paraId="35035C47" w14:textId="573C5BDA"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38" w:history="1">
        <w:r w:rsidRPr="0089039C">
          <w:rPr>
            <w:rStyle w:val="Hyperlink"/>
            <w:rFonts w:ascii="Poppins" w:eastAsia="Calibri" w:hAnsi="Poppins" w:cs="Poppins"/>
            <w:noProof/>
          </w:rPr>
          <w:t>4.4 European-to-SSA Knowledge Transfer: Four Design Principles</w:t>
        </w:r>
        <w:r>
          <w:rPr>
            <w:noProof/>
            <w:webHidden/>
          </w:rPr>
          <w:tab/>
        </w:r>
        <w:r>
          <w:rPr>
            <w:noProof/>
            <w:webHidden/>
          </w:rPr>
          <w:fldChar w:fldCharType="begin"/>
        </w:r>
        <w:r>
          <w:rPr>
            <w:noProof/>
            <w:webHidden/>
          </w:rPr>
          <w:instrText xml:space="preserve"> PAGEREF _Toc233200038 \h </w:instrText>
        </w:r>
        <w:r>
          <w:rPr>
            <w:noProof/>
            <w:webHidden/>
          </w:rPr>
        </w:r>
        <w:r>
          <w:rPr>
            <w:noProof/>
            <w:webHidden/>
          </w:rPr>
          <w:fldChar w:fldCharType="separate"/>
        </w:r>
        <w:r>
          <w:rPr>
            <w:noProof/>
            <w:webHidden/>
          </w:rPr>
          <w:t>55</w:t>
        </w:r>
        <w:r>
          <w:rPr>
            <w:noProof/>
            <w:webHidden/>
          </w:rPr>
          <w:fldChar w:fldCharType="end"/>
        </w:r>
      </w:hyperlink>
    </w:p>
    <w:p w14:paraId="5CF7D33B" w14:textId="30383FD0"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39" w:history="1">
        <w:r w:rsidRPr="0089039C">
          <w:rPr>
            <w:rStyle w:val="Hyperlink"/>
            <w:rFonts w:ascii="Poppins" w:eastAsia="Calibri" w:hAnsi="Poppins" w:cs="Poppins"/>
            <w:noProof/>
          </w:rPr>
          <w:t>4.5 From Findings to Implementation</w:t>
        </w:r>
        <w:r>
          <w:rPr>
            <w:noProof/>
            <w:webHidden/>
          </w:rPr>
          <w:tab/>
        </w:r>
        <w:r>
          <w:rPr>
            <w:noProof/>
            <w:webHidden/>
          </w:rPr>
          <w:fldChar w:fldCharType="begin"/>
        </w:r>
        <w:r>
          <w:rPr>
            <w:noProof/>
            <w:webHidden/>
          </w:rPr>
          <w:instrText xml:space="preserve"> PAGEREF _Toc233200039 \h </w:instrText>
        </w:r>
        <w:r>
          <w:rPr>
            <w:noProof/>
            <w:webHidden/>
          </w:rPr>
        </w:r>
        <w:r>
          <w:rPr>
            <w:noProof/>
            <w:webHidden/>
          </w:rPr>
          <w:fldChar w:fldCharType="separate"/>
        </w:r>
        <w:r>
          <w:rPr>
            <w:noProof/>
            <w:webHidden/>
          </w:rPr>
          <w:t>59</w:t>
        </w:r>
        <w:r>
          <w:rPr>
            <w:noProof/>
            <w:webHidden/>
          </w:rPr>
          <w:fldChar w:fldCharType="end"/>
        </w:r>
      </w:hyperlink>
    </w:p>
    <w:p w14:paraId="2A6F5B32" w14:textId="632ECF7F"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40" w:history="1">
        <w:r w:rsidRPr="0089039C">
          <w:rPr>
            <w:rStyle w:val="Hyperlink"/>
            <w:rFonts w:ascii="Poppins" w:eastAsia="Calibri" w:hAnsi="Poppins" w:cs="Poppins"/>
            <w:noProof/>
          </w:rPr>
          <w:t>5. Cross-Cutting Recommendations for Rural Youth Parliament Design</w:t>
        </w:r>
        <w:r>
          <w:rPr>
            <w:noProof/>
            <w:webHidden/>
          </w:rPr>
          <w:tab/>
        </w:r>
        <w:r>
          <w:rPr>
            <w:noProof/>
            <w:webHidden/>
          </w:rPr>
          <w:fldChar w:fldCharType="begin"/>
        </w:r>
        <w:r>
          <w:rPr>
            <w:noProof/>
            <w:webHidden/>
          </w:rPr>
          <w:instrText xml:space="preserve"> PAGEREF _Toc233200040 \h </w:instrText>
        </w:r>
        <w:r>
          <w:rPr>
            <w:noProof/>
            <w:webHidden/>
          </w:rPr>
        </w:r>
        <w:r>
          <w:rPr>
            <w:noProof/>
            <w:webHidden/>
          </w:rPr>
          <w:fldChar w:fldCharType="separate"/>
        </w:r>
        <w:r>
          <w:rPr>
            <w:noProof/>
            <w:webHidden/>
          </w:rPr>
          <w:t>62</w:t>
        </w:r>
        <w:r>
          <w:rPr>
            <w:noProof/>
            <w:webHidden/>
          </w:rPr>
          <w:fldChar w:fldCharType="end"/>
        </w:r>
      </w:hyperlink>
    </w:p>
    <w:p w14:paraId="0D0A6210" w14:textId="15E51144"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41" w:history="1">
        <w:r w:rsidRPr="0089039C">
          <w:rPr>
            <w:rStyle w:val="Hyperlink"/>
            <w:rFonts w:ascii="Poppins" w:eastAsia="Calibri" w:hAnsi="Poppins" w:cs="Poppins"/>
            <w:noProof/>
          </w:rPr>
          <w:t>Recommendation Area 1: Institutional Anchoring and Legal Recognition</w:t>
        </w:r>
        <w:r>
          <w:rPr>
            <w:noProof/>
            <w:webHidden/>
          </w:rPr>
          <w:tab/>
        </w:r>
        <w:r>
          <w:rPr>
            <w:noProof/>
            <w:webHidden/>
          </w:rPr>
          <w:fldChar w:fldCharType="begin"/>
        </w:r>
        <w:r>
          <w:rPr>
            <w:noProof/>
            <w:webHidden/>
          </w:rPr>
          <w:instrText xml:space="preserve"> PAGEREF _Toc233200041 \h </w:instrText>
        </w:r>
        <w:r>
          <w:rPr>
            <w:noProof/>
            <w:webHidden/>
          </w:rPr>
        </w:r>
        <w:r>
          <w:rPr>
            <w:noProof/>
            <w:webHidden/>
          </w:rPr>
          <w:fldChar w:fldCharType="separate"/>
        </w:r>
        <w:r>
          <w:rPr>
            <w:noProof/>
            <w:webHidden/>
          </w:rPr>
          <w:t>62</w:t>
        </w:r>
        <w:r>
          <w:rPr>
            <w:noProof/>
            <w:webHidden/>
          </w:rPr>
          <w:fldChar w:fldCharType="end"/>
        </w:r>
      </w:hyperlink>
    </w:p>
    <w:p w14:paraId="6260AB92" w14:textId="546D7159"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42" w:history="1">
        <w:r w:rsidRPr="0089039C">
          <w:rPr>
            <w:rStyle w:val="Hyperlink"/>
            <w:rFonts w:ascii="Poppins" w:eastAsia="Calibri" w:hAnsi="Poppins" w:cs="Poppins"/>
            <w:noProof/>
          </w:rPr>
          <w:t>Recommendation Area 2: From Consultation to Co-Decision</w:t>
        </w:r>
        <w:r>
          <w:rPr>
            <w:noProof/>
            <w:webHidden/>
          </w:rPr>
          <w:tab/>
        </w:r>
        <w:r>
          <w:rPr>
            <w:noProof/>
            <w:webHidden/>
          </w:rPr>
          <w:fldChar w:fldCharType="begin"/>
        </w:r>
        <w:r>
          <w:rPr>
            <w:noProof/>
            <w:webHidden/>
          </w:rPr>
          <w:instrText xml:space="preserve"> PAGEREF _Toc233200042 \h </w:instrText>
        </w:r>
        <w:r>
          <w:rPr>
            <w:noProof/>
            <w:webHidden/>
          </w:rPr>
        </w:r>
        <w:r>
          <w:rPr>
            <w:noProof/>
            <w:webHidden/>
          </w:rPr>
          <w:fldChar w:fldCharType="separate"/>
        </w:r>
        <w:r>
          <w:rPr>
            <w:noProof/>
            <w:webHidden/>
          </w:rPr>
          <w:t>63</w:t>
        </w:r>
        <w:r>
          <w:rPr>
            <w:noProof/>
            <w:webHidden/>
          </w:rPr>
          <w:fldChar w:fldCharType="end"/>
        </w:r>
      </w:hyperlink>
    </w:p>
    <w:p w14:paraId="31A2DCE0" w14:textId="3F75AB9A"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43" w:history="1">
        <w:r w:rsidRPr="0089039C">
          <w:rPr>
            <w:rStyle w:val="Hyperlink"/>
            <w:rFonts w:ascii="Poppins" w:eastAsia="Calibri" w:hAnsi="Poppins" w:cs="Poppins"/>
            <w:noProof/>
          </w:rPr>
          <w:t>Recommendation Area 3: Rural Accessibility and Radical Inclusion</w:t>
        </w:r>
        <w:r>
          <w:rPr>
            <w:noProof/>
            <w:webHidden/>
          </w:rPr>
          <w:tab/>
        </w:r>
        <w:r>
          <w:rPr>
            <w:noProof/>
            <w:webHidden/>
          </w:rPr>
          <w:fldChar w:fldCharType="begin"/>
        </w:r>
        <w:r>
          <w:rPr>
            <w:noProof/>
            <w:webHidden/>
          </w:rPr>
          <w:instrText xml:space="preserve"> PAGEREF _Toc233200043 \h </w:instrText>
        </w:r>
        <w:r>
          <w:rPr>
            <w:noProof/>
            <w:webHidden/>
          </w:rPr>
        </w:r>
        <w:r>
          <w:rPr>
            <w:noProof/>
            <w:webHidden/>
          </w:rPr>
          <w:fldChar w:fldCharType="separate"/>
        </w:r>
        <w:r>
          <w:rPr>
            <w:noProof/>
            <w:webHidden/>
          </w:rPr>
          <w:t>64</w:t>
        </w:r>
        <w:r>
          <w:rPr>
            <w:noProof/>
            <w:webHidden/>
          </w:rPr>
          <w:fldChar w:fldCharType="end"/>
        </w:r>
      </w:hyperlink>
    </w:p>
    <w:p w14:paraId="5000593D" w14:textId="116D6AB3"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44" w:history="1">
        <w:r w:rsidRPr="0089039C">
          <w:rPr>
            <w:rStyle w:val="Hyperlink"/>
            <w:rFonts w:ascii="Poppins" w:eastAsia="Calibri" w:hAnsi="Poppins" w:cs="Poppins"/>
            <w:noProof/>
          </w:rPr>
          <w:t>Recommendation Area 4: Cultural Sensitivity and Intergenerational Partnership</w:t>
        </w:r>
        <w:r>
          <w:rPr>
            <w:noProof/>
            <w:webHidden/>
          </w:rPr>
          <w:tab/>
        </w:r>
        <w:r>
          <w:rPr>
            <w:noProof/>
            <w:webHidden/>
          </w:rPr>
          <w:fldChar w:fldCharType="begin"/>
        </w:r>
        <w:r>
          <w:rPr>
            <w:noProof/>
            <w:webHidden/>
          </w:rPr>
          <w:instrText xml:space="preserve"> PAGEREF _Toc233200044 \h </w:instrText>
        </w:r>
        <w:r>
          <w:rPr>
            <w:noProof/>
            <w:webHidden/>
          </w:rPr>
        </w:r>
        <w:r>
          <w:rPr>
            <w:noProof/>
            <w:webHidden/>
          </w:rPr>
          <w:fldChar w:fldCharType="separate"/>
        </w:r>
        <w:r>
          <w:rPr>
            <w:noProof/>
            <w:webHidden/>
          </w:rPr>
          <w:t>65</w:t>
        </w:r>
        <w:r>
          <w:rPr>
            <w:noProof/>
            <w:webHidden/>
          </w:rPr>
          <w:fldChar w:fldCharType="end"/>
        </w:r>
      </w:hyperlink>
    </w:p>
    <w:p w14:paraId="386C4729" w14:textId="6205D47B"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45" w:history="1">
        <w:r w:rsidRPr="0089039C">
          <w:rPr>
            <w:rStyle w:val="Hyperlink"/>
            <w:rFonts w:ascii="Poppins" w:eastAsia="Calibri" w:hAnsi="Poppins" w:cs="Poppins"/>
            <w:noProof/>
          </w:rPr>
          <w:t>Recommendation Area 5: Sustainable Financing and Impact Monitoring</w:t>
        </w:r>
        <w:r>
          <w:rPr>
            <w:noProof/>
            <w:webHidden/>
          </w:rPr>
          <w:tab/>
        </w:r>
        <w:r>
          <w:rPr>
            <w:noProof/>
            <w:webHidden/>
          </w:rPr>
          <w:fldChar w:fldCharType="begin"/>
        </w:r>
        <w:r>
          <w:rPr>
            <w:noProof/>
            <w:webHidden/>
          </w:rPr>
          <w:instrText xml:space="preserve"> PAGEREF _Toc233200045 \h </w:instrText>
        </w:r>
        <w:r>
          <w:rPr>
            <w:noProof/>
            <w:webHidden/>
          </w:rPr>
        </w:r>
        <w:r>
          <w:rPr>
            <w:noProof/>
            <w:webHidden/>
          </w:rPr>
          <w:fldChar w:fldCharType="separate"/>
        </w:r>
        <w:r>
          <w:rPr>
            <w:noProof/>
            <w:webHidden/>
          </w:rPr>
          <w:t>66</w:t>
        </w:r>
        <w:r>
          <w:rPr>
            <w:noProof/>
            <w:webHidden/>
          </w:rPr>
          <w:fldChar w:fldCharType="end"/>
        </w:r>
      </w:hyperlink>
    </w:p>
    <w:p w14:paraId="2CF2CD1B" w14:textId="0F9DC4CC"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46" w:history="1">
        <w:r w:rsidRPr="0089039C">
          <w:rPr>
            <w:rStyle w:val="Hyperlink"/>
            <w:rFonts w:ascii="Poppins" w:eastAsia="Calibri" w:hAnsi="Poppins" w:cs="Poppins"/>
            <w:noProof/>
          </w:rPr>
          <w:t>Recommendation Area 6: European-SSA Knowledge Exchange</w:t>
        </w:r>
        <w:r>
          <w:rPr>
            <w:noProof/>
            <w:webHidden/>
          </w:rPr>
          <w:tab/>
        </w:r>
        <w:r>
          <w:rPr>
            <w:noProof/>
            <w:webHidden/>
          </w:rPr>
          <w:fldChar w:fldCharType="begin"/>
        </w:r>
        <w:r>
          <w:rPr>
            <w:noProof/>
            <w:webHidden/>
          </w:rPr>
          <w:instrText xml:space="preserve"> PAGEREF _Toc233200046 \h </w:instrText>
        </w:r>
        <w:r>
          <w:rPr>
            <w:noProof/>
            <w:webHidden/>
          </w:rPr>
        </w:r>
        <w:r>
          <w:rPr>
            <w:noProof/>
            <w:webHidden/>
          </w:rPr>
          <w:fldChar w:fldCharType="separate"/>
        </w:r>
        <w:r>
          <w:rPr>
            <w:noProof/>
            <w:webHidden/>
          </w:rPr>
          <w:t>67</w:t>
        </w:r>
        <w:r>
          <w:rPr>
            <w:noProof/>
            <w:webHidden/>
          </w:rPr>
          <w:fldChar w:fldCharType="end"/>
        </w:r>
      </w:hyperlink>
    </w:p>
    <w:p w14:paraId="79B35D25" w14:textId="5DD78ABC"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47" w:history="1">
        <w:r w:rsidRPr="0089039C">
          <w:rPr>
            <w:rStyle w:val="Hyperlink"/>
            <w:rFonts w:ascii="Poppins" w:eastAsia="Calibri" w:hAnsi="Poppins" w:cs="Poppins"/>
            <w:noProof/>
          </w:rPr>
          <w:t>6. Conclusion: The Case for Rural Youth Parliaments</w:t>
        </w:r>
        <w:r>
          <w:rPr>
            <w:noProof/>
            <w:webHidden/>
          </w:rPr>
          <w:tab/>
        </w:r>
        <w:r>
          <w:rPr>
            <w:noProof/>
            <w:webHidden/>
          </w:rPr>
          <w:fldChar w:fldCharType="begin"/>
        </w:r>
        <w:r>
          <w:rPr>
            <w:noProof/>
            <w:webHidden/>
          </w:rPr>
          <w:instrText xml:space="preserve"> PAGEREF _Toc233200047 \h </w:instrText>
        </w:r>
        <w:r>
          <w:rPr>
            <w:noProof/>
            <w:webHidden/>
          </w:rPr>
        </w:r>
        <w:r>
          <w:rPr>
            <w:noProof/>
            <w:webHidden/>
          </w:rPr>
          <w:fldChar w:fldCharType="separate"/>
        </w:r>
        <w:r>
          <w:rPr>
            <w:noProof/>
            <w:webHidden/>
          </w:rPr>
          <w:t>69</w:t>
        </w:r>
        <w:r>
          <w:rPr>
            <w:noProof/>
            <w:webHidden/>
          </w:rPr>
          <w:fldChar w:fldCharType="end"/>
        </w:r>
      </w:hyperlink>
    </w:p>
    <w:p w14:paraId="71095A8F" w14:textId="549E9C86"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48" w:history="1">
        <w:r w:rsidRPr="0089039C">
          <w:rPr>
            <w:rStyle w:val="Hyperlink"/>
            <w:rFonts w:ascii="Poppins" w:eastAsia="Calibri" w:hAnsi="Poppins" w:cs="Poppins"/>
            <w:noProof/>
          </w:rPr>
          <w:t>Annex A: Country Summary Profiles</w:t>
        </w:r>
        <w:r>
          <w:rPr>
            <w:noProof/>
            <w:webHidden/>
          </w:rPr>
          <w:tab/>
        </w:r>
        <w:r>
          <w:rPr>
            <w:noProof/>
            <w:webHidden/>
          </w:rPr>
          <w:fldChar w:fldCharType="begin"/>
        </w:r>
        <w:r>
          <w:rPr>
            <w:noProof/>
            <w:webHidden/>
          </w:rPr>
          <w:instrText xml:space="preserve"> PAGEREF _Toc233200048 \h </w:instrText>
        </w:r>
        <w:r>
          <w:rPr>
            <w:noProof/>
            <w:webHidden/>
          </w:rPr>
        </w:r>
        <w:r>
          <w:rPr>
            <w:noProof/>
            <w:webHidden/>
          </w:rPr>
          <w:fldChar w:fldCharType="separate"/>
        </w:r>
        <w:r>
          <w:rPr>
            <w:noProof/>
            <w:webHidden/>
          </w:rPr>
          <w:t>71</w:t>
        </w:r>
        <w:r>
          <w:rPr>
            <w:noProof/>
            <w:webHidden/>
          </w:rPr>
          <w:fldChar w:fldCharType="end"/>
        </w:r>
      </w:hyperlink>
    </w:p>
    <w:p w14:paraId="0EE4258D" w14:textId="499255CC"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49" w:history="1">
        <w:r w:rsidRPr="0089039C">
          <w:rPr>
            <w:rStyle w:val="Hyperlink"/>
            <w:rFonts w:ascii="Poppins" w:eastAsia="Calibri" w:hAnsi="Poppins" w:cs="Poppins"/>
            <w:noProof/>
          </w:rPr>
          <w:t>Botswana</w:t>
        </w:r>
        <w:r>
          <w:rPr>
            <w:noProof/>
            <w:webHidden/>
          </w:rPr>
          <w:tab/>
        </w:r>
        <w:r>
          <w:rPr>
            <w:noProof/>
            <w:webHidden/>
          </w:rPr>
          <w:fldChar w:fldCharType="begin"/>
        </w:r>
        <w:r>
          <w:rPr>
            <w:noProof/>
            <w:webHidden/>
          </w:rPr>
          <w:instrText xml:space="preserve"> PAGEREF _Toc233200049 \h </w:instrText>
        </w:r>
        <w:r>
          <w:rPr>
            <w:noProof/>
            <w:webHidden/>
          </w:rPr>
        </w:r>
        <w:r>
          <w:rPr>
            <w:noProof/>
            <w:webHidden/>
          </w:rPr>
          <w:fldChar w:fldCharType="separate"/>
        </w:r>
        <w:r>
          <w:rPr>
            <w:noProof/>
            <w:webHidden/>
          </w:rPr>
          <w:t>74</w:t>
        </w:r>
        <w:r>
          <w:rPr>
            <w:noProof/>
            <w:webHidden/>
          </w:rPr>
          <w:fldChar w:fldCharType="end"/>
        </w:r>
      </w:hyperlink>
    </w:p>
    <w:p w14:paraId="6181409A" w14:textId="21067467"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50" w:history="1">
        <w:r w:rsidRPr="0089039C">
          <w:rPr>
            <w:rStyle w:val="Hyperlink"/>
            <w:rFonts w:ascii="Poppins" w:eastAsia="Calibri" w:hAnsi="Poppins" w:cs="Poppins"/>
            <w:noProof/>
          </w:rPr>
          <w:t>Madagascar</w:t>
        </w:r>
        <w:r>
          <w:rPr>
            <w:noProof/>
            <w:webHidden/>
          </w:rPr>
          <w:tab/>
        </w:r>
        <w:r>
          <w:rPr>
            <w:noProof/>
            <w:webHidden/>
          </w:rPr>
          <w:fldChar w:fldCharType="begin"/>
        </w:r>
        <w:r>
          <w:rPr>
            <w:noProof/>
            <w:webHidden/>
          </w:rPr>
          <w:instrText xml:space="preserve"> PAGEREF _Toc233200050 \h </w:instrText>
        </w:r>
        <w:r>
          <w:rPr>
            <w:noProof/>
            <w:webHidden/>
          </w:rPr>
        </w:r>
        <w:r>
          <w:rPr>
            <w:noProof/>
            <w:webHidden/>
          </w:rPr>
          <w:fldChar w:fldCharType="separate"/>
        </w:r>
        <w:r>
          <w:rPr>
            <w:noProof/>
            <w:webHidden/>
          </w:rPr>
          <w:t>74</w:t>
        </w:r>
        <w:r>
          <w:rPr>
            <w:noProof/>
            <w:webHidden/>
          </w:rPr>
          <w:fldChar w:fldCharType="end"/>
        </w:r>
      </w:hyperlink>
    </w:p>
    <w:p w14:paraId="36983E7F" w14:textId="62BAA7BC"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51" w:history="1">
        <w:r w:rsidRPr="0089039C">
          <w:rPr>
            <w:rStyle w:val="Hyperlink"/>
            <w:rFonts w:ascii="Poppins" w:eastAsia="Calibri" w:hAnsi="Poppins" w:cs="Poppins"/>
            <w:noProof/>
          </w:rPr>
          <w:t>Mauritius</w:t>
        </w:r>
        <w:r>
          <w:rPr>
            <w:noProof/>
            <w:webHidden/>
          </w:rPr>
          <w:tab/>
        </w:r>
        <w:r>
          <w:rPr>
            <w:noProof/>
            <w:webHidden/>
          </w:rPr>
          <w:fldChar w:fldCharType="begin"/>
        </w:r>
        <w:r>
          <w:rPr>
            <w:noProof/>
            <w:webHidden/>
          </w:rPr>
          <w:instrText xml:space="preserve"> PAGEREF _Toc233200051 \h </w:instrText>
        </w:r>
        <w:r>
          <w:rPr>
            <w:noProof/>
            <w:webHidden/>
          </w:rPr>
        </w:r>
        <w:r>
          <w:rPr>
            <w:noProof/>
            <w:webHidden/>
          </w:rPr>
          <w:fldChar w:fldCharType="separate"/>
        </w:r>
        <w:r>
          <w:rPr>
            <w:noProof/>
            <w:webHidden/>
          </w:rPr>
          <w:t>75</w:t>
        </w:r>
        <w:r>
          <w:rPr>
            <w:noProof/>
            <w:webHidden/>
          </w:rPr>
          <w:fldChar w:fldCharType="end"/>
        </w:r>
      </w:hyperlink>
    </w:p>
    <w:p w14:paraId="09A24CDB" w14:textId="7F78268D"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52" w:history="1">
        <w:r w:rsidRPr="0089039C">
          <w:rPr>
            <w:rStyle w:val="Hyperlink"/>
            <w:rFonts w:ascii="Poppins" w:eastAsia="Calibri" w:hAnsi="Poppins" w:cs="Poppins"/>
            <w:noProof/>
          </w:rPr>
          <w:t>Nigeria</w:t>
        </w:r>
        <w:r>
          <w:rPr>
            <w:noProof/>
            <w:webHidden/>
          </w:rPr>
          <w:tab/>
        </w:r>
        <w:r>
          <w:rPr>
            <w:noProof/>
            <w:webHidden/>
          </w:rPr>
          <w:fldChar w:fldCharType="begin"/>
        </w:r>
        <w:r>
          <w:rPr>
            <w:noProof/>
            <w:webHidden/>
          </w:rPr>
          <w:instrText xml:space="preserve"> PAGEREF _Toc233200052 \h </w:instrText>
        </w:r>
        <w:r>
          <w:rPr>
            <w:noProof/>
            <w:webHidden/>
          </w:rPr>
        </w:r>
        <w:r>
          <w:rPr>
            <w:noProof/>
            <w:webHidden/>
          </w:rPr>
          <w:fldChar w:fldCharType="separate"/>
        </w:r>
        <w:r>
          <w:rPr>
            <w:noProof/>
            <w:webHidden/>
          </w:rPr>
          <w:t>76</w:t>
        </w:r>
        <w:r>
          <w:rPr>
            <w:noProof/>
            <w:webHidden/>
          </w:rPr>
          <w:fldChar w:fldCharType="end"/>
        </w:r>
      </w:hyperlink>
    </w:p>
    <w:p w14:paraId="326B224F" w14:textId="2796DF55"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53" w:history="1">
        <w:r w:rsidRPr="0089039C">
          <w:rPr>
            <w:rStyle w:val="Hyperlink"/>
            <w:rFonts w:ascii="Poppins" w:eastAsia="Calibri" w:hAnsi="Poppins" w:cs="Poppins"/>
            <w:noProof/>
          </w:rPr>
          <w:t>Greece</w:t>
        </w:r>
        <w:r>
          <w:rPr>
            <w:noProof/>
            <w:webHidden/>
          </w:rPr>
          <w:tab/>
        </w:r>
        <w:r>
          <w:rPr>
            <w:noProof/>
            <w:webHidden/>
          </w:rPr>
          <w:fldChar w:fldCharType="begin"/>
        </w:r>
        <w:r>
          <w:rPr>
            <w:noProof/>
            <w:webHidden/>
          </w:rPr>
          <w:instrText xml:space="preserve"> PAGEREF _Toc233200053 \h </w:instrText>
        </w:r>
        <w:r>
          <w:rPr>
            <w:noProof/>
            <w:webHidden/>
          </w:rPr>
        </w:r>
        <w:r>
          <w:rPr>
            <w:noProof/>
            <w:webHidden/>
          </w:rPr>
          <w:fldChar w:fldCharType="separate"/>
        </w:r>
        <w:r>
          <w:rPr>
            <w:noProof/>
            <w:webHidden/>
          </w:rPr>
          <w:t>77</w:t>
        </w:r>
        <w:r>
          <w:rPr>
            <w:noProof/>
            <w:webHidden/>
          </w:rPr>
          <w:fldChar w:fldCharType="end"/>
        </w:r>
      </w:hyperlink>
    </w:p>
    <w:p w14:paraId="531005BE" w14:textId="1831E0A2"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54" w:history="1">
        <w:r w:rsidRPr="0089039C">
          <w:rPr>
            <w:rStyle w:val="Hyperlink"/>
            <w:rFonts w:ascii="Poppins" w:eastAsia="Calibri" w:hAnsi="Poppins" w:cs="Poppins"/>
            <w:noProof/>
          </w:rPr>
          <w:t>Italy</w:t>
        </w:r>
        <w:r>
          <w:rPr>
            <w:noProof/>
            <w:webHidden/>
          </w:rPr>
          <w:tab/>
        </w:r>
        <w:r>
          <w:rPr>
            <w:noProof/>
            <w:webHidden/>
          </w:rPr>
          <w:fldChar w:fldCharType="begin"/>
        </w:r>
        <w:r>
          <w:rPr>
            <w:noProof/>
            <w:webHidden/>
          </w:rPr>
          <w:instrText xml:space="preserve"> PAGEREF _Toc233200054 \h </w:instrText>
        </w:r>
        <w:r>
          <w:rPr>
            <w:noProof/>
            <w:webHidden/>
          </w:rPr>
        </w:r>
        <w:r>
          <w:rPr>
            <w:noProof/>
            <w:webHidden/>
          </w:rPr>
          <w:fldChar w:fldCharType="separate"/>
        </w:r>
        <w:r>
          <w:rPr>
            <w:noProof/>
            <w:webHidden/>
          </w:rPr>
          <w:t>77</w:t>
        </w:r>
        <w:r>
          <w:rPr>
            <w:noProof/>
            <w:webHidden/>
          </w:rPr>
          <w:fldChar w:fldCharType="end"/>
        </w:r>
      </w:hyperlink>
    </w:p>
    <w:p w14:paraId="28B92A15" w14:textId="6594C10A"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55" w:history="1">
        <w:r w:rsidRPr="0089039C">
          <w:rPr>
            <w:rStyle w:val="Hyperlink"/>
            <w:rFonts w:ascii="Poppins" w:eastAsia="Calibri" w:hAnsi="Poppins" w:cs="Poppins"/>
            <w:noProof/>
            <w:lang w:val="it-IT"/>
          </w:rPr>
          <w:t>Romania</w:t>
        </w:r>
        <w:r>
          <w:rPr>
            <w:noProof/>
            <w:webHidden/>
          </w:rPr>
          <w:tab/>
        </w:r>
        <w:r>
          <w:rPr>
            <w:noProof/>
            <w:webHidden/>
          </w:rPr>
          <w:fldChar w:fldCharType="begin"/>
        </w:r>
        <w:r>
          <w:rPr>
            <w:noProof/>
            <w:webHidden/>
          </w:rPr>
          <w:instrText xml:space="preserve"> PAGEREF _Toc233200055 \h </w:instrText>
        </w:r>
        <w:r>
          <w:rPr>
            <w:noProof/>
            <w:webHidden/>
          </w:rPr>
        </w:r>
        <w:r>
          <w:rPr>
            <w:noProof/>
            <w:webHidden/>
          </w:rPr>
          <w:fldChar w:fldCharType="separate"/>
        </w:r>
        <w:r>
          <w:rPr>
            <w:noProof/>
            <w:webHidden/>
          </w:rPr>
          <w:t>78</w:t>
        </w:r>
        <w:r>
          <w:rPr>
            <w:noProof/>
            <w:webHidden/>
          </w:rPr>
          <w:fldChar w:fldCharType="end"/>
        </w:r>
      </w:hyperlink>
    </w:p>
    <w:p w14:paraId="62903C39" w14:textId="27BF047F"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56" w:history="1">
        <w:r w:rsidRPr="0089039C">
          <w:rPr>
            <w:rStyle w:val="Hyperlink"/>
            <w:rFonts w:ascii="Poppins" w:eastAsia="Calibri" w:hAnsi="Poppins" w:cs="Poppins"/>
            <w:noProof/>
          </w:rPr>
          <w:t>Annex B: Glossary of Key Terms and Abbreviations</w:t>
        </w:r>
        <w:r>
          <w:rPr>
            <w:noProof/>
            <w:webHidden/>
          </w:rPr>
          <w:tab/>
        </w:r>
        <w:r>
          <w:rPr>
            <w:noProof/>
            <w:webHidden/>
          </w:rPr>
          <w:fldChar w:fldCharType="begin"/>
        </w:r>
        <w:r>
          <w:rPr>
            <w:noProof/>
            <w:webHidden/>
          </w:rPr>
          <w:instrText xml:space="preserve"> PAGEREF _Toc233200056 \h </w:instrText>
        </w:r>
        <w:r>
          <w:rPr>
            <w:noProof/>
            <w:webHidden/>
          </w:rPr>
        </w:r>
        <w:r>
          <w:rPr>
            <w:noProof/>
            <w:webHidden/>
          </w:rPr>
          <w:fldChar w:fldCharType="separate"/>
        </w:r>
        <w:r>
          <w:rPr>
            <w:noProof/>
            <w:webHidden/>
          </w:rPr>
          <w:t>79</w:t>
        </w:r>
        <w:r>
          <w:rPr>
            <w:noProof/>
            <w:webHidden/>
          </w:rPr>
          <w:fldChar w:fldCharType="end"/>
        </w:r>
      </w:hyperlink>
    </w:p>
    <w:p w14:paraId="52633351" w14:textId="65386ABA"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57" w:history="1">
        <w:r w:rsidRPr="0089039C">
          <w:rPr>
            <w:rStyle w:val="Hyperlink"/>
            <w:rFonts w:ascii="Poppins" w:eastAsia="Calibri" w:hAnsi="Poppins" w:cs="Poppins"/>
            <w:noProof/>
          </w:rPr>
          <w:t>Annex C: Evidence Traceability Table</w:t>
        </w:r>
        <w:r>
          <w:rPr>
            <w:noProof/>
            <w:webHidden/>
          </w:rPr>
          <w:tab/>
        </w:r>
        <w:r>
          <w:rPr>
            <w:noProof/>
            <w:webHidden/>
          </w:rPr>
          <w:fldChar w:fldCharType="begin"/>
        </w:r>
        <w:r>
          <w:rPr>
            <w:noProof/>
            <w:webHidden/>
          </w:rPr>
          <w:instrText xml:space="preserve"> PAGEREF _Toc233200057 \h </w:instrText>
        </w:r>
        <w:r>
          <w:rPr>
            <w:noProof/>
            <w:webHidden/>
          </w:rPr>
        </w:r>
        <w:r>
          <w:rPr>
            <w:noProof/>
            <w:webHidden/>
          </w:rPr>
          <w:fldChar w:fldCharType="separate"/>
        </w:r>
        <w:r>
          <w:rPr>
            <w:noProof/>
            <w:webHidden/>
          </w:rPr>
          <w:t>83</w:t>
        </w:r>
        <w:r>
          <w:rPr>
            <w:noProof/>
            <w:webHidden/>
          </w:rPr>
          <w:fldChar w:fldCharType="end"/>
        </w:r>
      </w:hyperlink>
    </w:p>
    <w:p w14:paraId="42B497BF" w14:textId="3D57B55F" w:rsidR="00666D4C" w:rsidRDefault="00666D4C" w:rsidP="00CC2B04">
      <w:pPr>
        <w:pStyle w:val="TOC1"/>
        <w:tabs>
          <w:tab w:val="right" w:leader="dot" w:pos="9019"/>
        </w:tabs>
        <w:rPr>
          <w:rFonts w:asciiTheme="minorHAnsi" w:eastAsiaTheme="minorEastAsia" w:hAnsiTheme="minorHAnsi" w:cstheme="minorBidi"/>
          <w:noProof/>
          <w:kern w:val="2"/>
          <w:sz w:val="24"/>
          <w:szCs w:val="24"/>
          <w:lang w:val="en-BE" w:eastAsia="en-BE"/>
          <w14:ligatures w14:val="standardContextual"/>
        </w:rPr>
      </w:pPr>
      <w:hyperlink w:anchor="_Toc233200058" w:history="1">
        <w:r w:rsidRPr="0089039C">
          <w:rPr>
            <w:rStyle w:val="Hyperlink"/>
            <w:rFonts w:ascii="Poppins" w:eastAsia="Calibri" w:hAnsi="Poppins" w:cs="Poppins"/>
            <w:noProof/>
          </w:rPr>
          <w:t>Bibliography</w:t>
        </w:r>
        <w:r>
          <w:rPr>
            <w:noProof/>
            <w:webHidden/>
          </w:rPr>
          <w:tab/>
        </w:r>
        <w:r>
          <w:rPr>
            <w:noProof/>
            <w:webHidden/>
          </w:rPr>
          <w:fldChar w:fldCharType="begin"/>
        </w:r>
        <w:r>
          <w:rPr>
            <w:noProof/>
            <w:webHidden/>
          </w:rPr>
          <w:instrText xml:space="preserve"> PAGEREF _Toc233200058 \h </w:instrText>
        </w:r>
        <w:r>
          <w:rPr>
            <w:noProof/>
            <w:webHidden/>
          </w:rPr>
        </w:r>
        <w:r>
          <w:rPr>
            <w:noProof/>
            <w:webHidden/>
          </w:rPr>
          <w:fldChar w:fldCharType="separate"/>
        </w:r>
        <w:r>
          <w:rPr>
            <w:noProof/>
            <w:webHidden/>
          </w:rPr>
          <w:t>85</w:t>
        </w:r>
        <w:r>
          <w:rPr>
            <w:noProof/>
            <w:webHidden/>
          </w:rPr>
          <w:fldChar w:fldCharType="end"/>
        </w:r>
      </w:hyperlink>
    </w:p>
    <w:p w14:paraId="252E54C1" w14:textId="6FFDFA7E"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59" w:history="1">
        <w:r w:rsidRPr="0089039C">
          <w:rPr>
            <w:rStyle w:val="Hyperlink"/>
            <w:rFonts w:ascii="Poppins" w:eastAsia="Calibri" w:hAnsi="Poppins" w:cs="Poppins"/>
            <w:noProof/>
          </w:rPr>
          <w:t>Primary Sources: EMPOWER+ Country Reports</w:t>
        </w:r>
        <w:r>
          <w:rPr>
            <w:noProof/>
            <w:webHidden/>
          </w:rPr>
          <w:tab/>
        </w:r>
        <w:r>
          <w:rPr>
            <w:noProof/>
            <w:webHidden/>
          </w:rPr>
          <w:fldChar w:fldCharType="begin"/>
        </w:r>
        <w:r>
          <w:rPr>
            <w:noProof/>
            <w:webHidden/>
          </w:rPr>
          <w:instrText xml:space="preserve"> PAGEREF _Toc233200059 \h </w:instrText>
        </w:r>
        <w:r>
          <w:rPr>
            <w:noProof/>
            <w:webHidden/>
          </w:rPr>
        </w:r>
        <w:r>
          <w:rPr>
            <w:noProof/>
            <w:webHidden/>
          </w:rPr>
          <w:fldChar w:fldCharType="separate"/>
        </w:r>
        <w:r>
          <w:rPr>
            <w:noProof/>
            <w:webHidden/>
          </w:rPr>
          <w:t>85</w:t>
        </w:r>
        <w:r>
          <w:rPr>
            <w:noProof/>
            <w:webHidden/>
          </w:rPr>
          <w:fldChar w:fldCharType="end"/>
        </w:r>
      </w:hyperlink>
    </w:p>
    <w:p w14:paraId="7D7625D5" w14:textId="250EC7AE" w:rsidR="00666D4C" w:rsidRDefault="00666D4C" w:rsidP="00CC2B04">
      <w:pPr>
        <w:pStyle w:val="TOC2"/>
        <w:rPr>
          <w:rFonts w:asciiTheme="minorHAnsi" w:eastAsiaTheme="minorEastAsia" w:hAnsiTheme="minorHAnsi" w:cstheme="minorBidi"/>
          <w:noProof/>
          <w:kern w:val="2"/>
          <w:sz w:val="24"/>
          <w:szCs w:val="24"/>
          <w:lang w:val="en-BE" w:eastAsia="en-BE"/>
          <w14:ligatures w14:val="standardContextual"/>
        </w:rPr>
      </w:pPr>
      <w:hyperlink w:anchor="_Toc233200060" w:history="1">
        <w:r w:rsidRPr="0089039C">
          <w:rPr>
            <w:rStyle w:val="Hyperlink"/>
            <w:rFonts w:ascii="Poppins" w:eastAsia="Calibri" w:hAnsi="Poppins" w:cs="Poppins"/>
            <w:noProof/>
          </w:rPr>
          <w:t>Policy Frameworks and International Standards</w:t>
        </w:r>
        <w:r>
          <w:rPr>
            <w:noProof/>
            <w:webHidden/>
          </w:rPr>
          <w:tab/>
        </w:r>
        <w:r>
          <w:rPr>
            <w:noProof/>
            <w:webHidden/>
          </w:rPr>
          <w:fldChar w:fldCharType="begin"/>
        </w:r>
        <w:r>
          <w:rPr>
            <w:noProof/>
            <w:webHidden/>
          </w:rPr>
          <w:instrText xml:space="preserve"> PAGEREF _Toc233200060 \h </w:instrText>
        </w:r>
        <w:r>
          <w:rPr>
            <w:noProof/>
            <w:webHidden/>
          </w:rPr>
        </w:r>
        <w:r>
          <w:rPr>
            <w:noProof/>
            <w:webHidden/>
          </w:rPr>
          <w:fldChar w:fldCharType="separate"/>
        </w:r>
        <w:r>
          <w:rPr>
            <w:noProof/>
            <w:webHidden/>
          </w:rPr>
          <w:t>86</w:t>
        </w:r>
        <w:r>
          <w:rPr>
            <w:noProof/>
            <w:webHidden/>
          </w:rPr>
          <w:fldChar w:fldCharType="end"/>
        </w:r>
      </w:hyperlink>
    </w:p>
    <w:p w14:paraId="389665A6" w14:textId="34995970" w:rsidR="00666D4C" w:rsidRDefault="00666D4C">
      <w:pPr>
        <w:pStyle w:val="TOC2"/>
        <w:rPr>
          <w:rFonts w:asciiTheme="minorHAnsi" w:eastAsiaTheme="minorEastAsia" w:hAnsiTheme="minorHAnsi" w:cstheme="minorBidi"/>
          <w:noProof/>
          <w:kern w:val="2"/>
          <w:sz w:val="24"/>
          <w:szCs w:val="24"/>
          <w:lang w:val="en-BE" w:eastAsia="en-BE"/>
          <w14:ligatures w14:val="standardContextual"/>
        </w:rPr>
      </w:pPr>
      <w:hyperlink w:anchor="_Toc233200061" w:history="1">
        <w:r w:rsidRPr="0089039C">
          <w:rPr>
            <w:rStyle w:val="Hyperlink"/>
            <w:rFonts w:ascii="Poppins" w:eastAsia="Calibri" w:hAnsi="Poppins" w:cs="Poppins"/>
            <w:noProof/>
          </w:rPr>
          <w:t>Academic and Institutional Literature</w:t>
        </w:r>
        <w:r>
          <w:rPr>
            <w:noProof/>
            <w:webHidden/>
          </w:rPr>
          <w:tab/>
        </w:r>
        <w:r>
          <w:rPr>
            <w:noProof/>
            <w:webHidden/>
          </w:rPr>
          <w:fldChar w:fldCharType="begin"/>
        </w:r>
        <w:r>
          <w:rPr>
            <w:noProof/>
            <w:webHidden/>
          </w:rPr>
          <w:instrText xml:space="preserve"> PAGEREF _Toc233200061 \h </w:instrText>
        </w:r>
        <w:r>
          <w:rPr>
            <w:noProof/>
            <w:webHidden/>
          </w:rPr>
        </w:r>
        <w:r>
          <w:rPr>
            <w:noProof/>
            <w:webHidden/>
          </w:rPr>
          <w:fldChar w:fldCharType="separate"/>
        </w:r>
        <w:r>
          <w:rPr>
            <w:noProof/>
            <w:webHidden/>
          </w:rPr>
          <w:t>87</w:t>
        </w:r>
        <w:r>
          <w:rPr>
            <w:noProof/>
            <w:webHidden/>
          </w:rPr>
          <w:fldChar w:fldCharType="end"/>
        </w:r>
      </w:hyperlink>
    </w:p>
    <w:p w14:paraId="328D4BA2" w14:textId="7CC66226" w:rsidR="00F7034B" w:rsidRPr="00BE4EE4" w:rsidRDefault="00000000" w:rsidP="002823C1">
      <w:pPr>
        <w:pStyle w:val="TOC1"/>
        <w:rPr>
          <w:rFonts w:ascii="Poppins" w:hAnsi="Poppins" w:cs="Poppins"/>
        </w:rPr>
      </w:pPr>
      <w:r w:rsidRPr="00BE4EE4">
        <w:rPr>
          <w:rFonts w:ascii="Poppins" w:hAnsi="Poppins" w:cs="Poppins"/>
        </w:rPr>
        <w:fldChar w:fldCharType="end"/>
      </w:r>
      <w:r w:rsidRPr="00BE4EE4">
        <w:rPr>
          <w:rFonts w:ascii="Poppins" w:hAnsi="Poppins" w:cs="Poppins"/>
        </w:rPr>
        <w:br w:type="page"/>
      </w:r>
    </w:p>
    <w:p w14:paraId="719B44B7" w14:textId="77777777" w:rsidR="00F7034B" w:rsidRPr="00BE4EE4" w:rsidRDefault="00000000">
      <w:pPr>
        <w:pStyle w:val="Heading1"/>
        <w:keepNext/>
        <w:spacing w:before="360" w:after="120"/>
        <w:rPr>
          <w:rFonts w:ascii="Poppins" w:hAnsi="Poppins" w:cs="Poppins"/>
          <w:color w:val="2F6B3A"/>
        </w:rPr>
      </w:pPr>
      <w:bookmarkStart w:id="0" w:name="_Toc233200002"/>
      <w:r w:rsidRPr="00BE4EE4">
        <w:rPr>
          <w:rFonts w:ascii="Poppins" w:eastAsia="Calibri" w:hAnsi="Poppins" w:cs="Poppins"/>
          <w:color w:val="2F6B3A"/>
        </w:rPr>
        <w:lastRenderedPageBreak/>
        <w:t>Executive Summary</w:t>
      </w:r>
      <w:bookmarkEnd w:id="0"/>
    </w:p>
    <w:p w14:paraId="6CA80987" w14:textId="45C4235B"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This Synthesis Report is the principal analytical output of Work Package 2 of the EMPOWER+ project, Empowering Rural Youth: Establishing and Strengthening the Rural Youth Parliament in Sub-Saharan Africa (ERASMUS-YOUTH-2025-CB-SSA, Project No. 101243075). It consolidates findings from fourteen country-level research exercises completed between 2025 and 2026 across seven partner countries spanning Sub-Saharan Africa and Europe: Botswana, Madagascar, Mauritius, Nigeria, Greece, Italy, and Romania. </w:t>
      </w:r>
    </w:p>
    <w:p w14:paraId="0582735D" w14:textId="77777777" w:rsidR="00F7034B" w:rsidRPr="00BE4EE4" w:rsidRDefault="00000000">
      <w:pPr>
        <w:spacing w:before="60" w:after="100"/>
        <w:jc w:val="both"/>
        <w:rPr>
          <w:rFonts w:ascii="Poppins" w:eastAsia="Calibri" w:hAnsi="Poppins" w:cs="Poppins"/>
          <w:color w:val="1A1A1A"/>
        </w:rPr>
      </w:pPr>
      <w:r w:rsidRPr="00BE4EE4">
        <w:rPr>
          <w:rFonts w:ascii="Poppins" w:eastAsia="Calibri" w:hAnsi="Poppins" w:cs="Poppins"/>
          <w:color w:val="1A1A1A"/>
        </w:rPr>
        <w:t>Before designing Rural Youth Parliaments (RYPs), the EMPOWER+ consortium invested systematically in understanding the landscape. Task 2.1 required each partner to map available resources, legal and policy frameworks, and documented best practices for rural youth participation. Task 2.2 required each partner to publish an analytical report mapping youth policy participation tools, analysing legal frameworks in depth, reporting on focus group findings, and presenting country-level recommendations. Together, these fourteen documents constitute the most comprehensive comparative evidence base on rural youth participation across the seven EMPOWER+ partner countries assembled to date.</w:t>
      </w:r>
    </w:p>
    <w:p w14:paraId="41B60297" w14:textId="77777777" w:rsidR="00BF7AE4" w:rsidRPr="00BE4EE4" w:rsidRDefault="00BF7AE4">
      <w:pPr>
        <w:spacing w:before="60" w:after="100"/>
        <w:jc w:val="both"/>
        <w:rPr>
          <w:rFonts w:ascii="Poppins" w:hAnsi="Poppins" w:cs="Poppins"/>
        </w:rPr>
      </w:pPr>
    </w:p>
    <w:p w14:paraId="789058E0" w14:textId="77777777" w:rsidR="00F7034B" w:rsidRPr="00BE4EE4" w:rsidRDefault="00000000">
      <w:pPr>
        <w:pStyle w:val="Heading2"/>
        <w:keepNext/>
        <w:spacing w:before="280" w:after="80"/>
        <w:rPr>
          <w:rFonts w:ascii="Poppins" w:hAnsi="Poppins" w:cs="Poppins"/>
          <w:color w:val="2F6B3A"/>
        </w:rPr>
      </w:pPr>
      <w:bookmarkStart w:id="1" w:name="_Toc233200003"/>
      <w:r w:rsidRPr="00BE4EE4">
        <w:rPr>
          <w:rFonts w:ascii="Poppins" w:eastAsia="Calibri" w:hAnsi="Poppins" w:cs="Poppins"/>
          <w:color w:val="2F6B3A"/>
        </w:rPr>
        <w:t>Five Key Messages</w:t>
      </w:r>
      <w:bookmarkEnd w:id="1"/>
    </w:p>
    <w:p w14:paraId="54AE7C04" w14:textId="77777777" w:rsidR="00F7034B" w:rsidRPr="00BE4EE4" w:rsidRDefault="00000000" w:rsidP="002823C1">
      <w:pPr>
        <w:rPr>
          <w:rFonts w:ascii="Poppins" w:hAnsi="Poppins" w:cs="Poppins"/>
          <w:color w:val="B7C3A1"/>
        </w:rPr>
      </w:pPr>
      <w:r w:rsidRPr="00BE4EE4">
        <w:rPr>
          <w:rFonts w:ascii="Poppins" w:eastAsia="Calibri" w:hAnsi="Poppins" w:cs="Poppins"/>
          <w:b/>
          <w:bCs/>
          <w:color w:val="B7C3A1"/>
          <w:sz w:val="28"/>
          <w:szCs w:val="28"/>
        </w:rPr>
        <w:t>1. Rural Young People Are Excluded from the Decisions That Shape Their Lives</w:t>
      </w:r>
    </w:p>
    <w:p w14:paraId="44D87BFF"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In every partner country, formal rights to participate in governance exist on paper but practical access is severely limited for rural youth. Geographic isolation, absence of adequate transport, limited information about participation </w:t>
      </w:r>
      <w:r w:rsidRPr="00BE4EE4">
        <w:rPr>
          <w:rFonts w:ascii="Poppins" w:eastAsia="Calibri" w:hAnsi="Poppins" w:cs="Poppins"/>
          <w:color w:val="1A1A1A"/>
        </w:rPr>
        <w:lastRenderedPageBreak/>
        <w:t>opportunities, economic hardship, and cultural norms positioning youth as too young to lead combine to keep rural youth at the margins of formal governance. This exclusion is not accidental; it is the predictable outcome of participation systems designed without rural youth in mind.</w:t>
      </w:r>
    </w:p>
    <w:p w14:paraId="4019B79C" w14:textId="77777777" w:rsidR="00F7034B" w:rsidRPr="00BE4EE4" w:rsidRDefault="00000000" w:rsidP="002823C1">
      <w:pPr>
        <w:rPr>
          <w:rFonts w:ascii="Poppins" w:hAnsi="Poppins" w:cs="Poppins"/>
          <w:color w:val="B7C3A1"/>
        </w:rPr>
      </w:pPr>
      <w:r w:rsidRPr="00BE4EE4">
        <w:rPr>
          <w:rFonts w:ascii="Poppins" w:eastAsia="Calibri" w:hAnsi="Poppins" w:cs="Poppins"/>
          <w:b/>
          <w:bCs/>
          <w:color w:val="B7C3A1"/>
          <w:sz w:val="28"/>
          <w:szCs w:val="28"/>
        </w:rPr>
        <w:t>2. Participation Is Widespread but Rarely Meaningful</w:t>
      </w:r>
    </w:p>
    <w:p w14:paraId="35A5AA93"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Across all seven countries, young people attend community meetings, sit on advisory councils, and contribute to consultation processes. What the evidence makes consistently clear is that this participation is predominantly advisory, not decision-influencing. Inputs are rarely tracked, feedback from decision-makers is weak or absent, and the visible causal connection between youth contributions and actual policy decisions is almost universally absent. This pattern of symbolic participation breeds disillusionment and disengagement.</w:t>
      </w:r>
    </w:p>
    <w:p w14:paraId="2F8D8725" w14:textId="77777777" w:rsidR="00F7034B" w:rsidRPr="00BE4EE4" w:rsidRDefault="00000000" w:rsidP="002823C1">
      <w:pPr>
        <w:rPr>
          <w:rFonts w:ascii="Poppins" w:hAnsi="Poppins" w:cs="Poppins"/>
          <w:color w:val="B7C3A1"/>
        </w:rPr>
      </w:pPr>
      <w:r w:rsidRPr="00BE4EE4">
        <w:rPr>
          <w:rFonts w:ascii="Poppins" w:eastAsia="Calibri" w:hAnsi="Poppins" w:cs="Poppins"/>
          <w:b/>
          <w:bCs/>
          <w:color w:val="B7C3A1"/>
          <w:sz w:val="28"/>
          <w:szCs w:val="28"/>
        </w:rPr>
        <w:t>3. Community Structures Are the Most Trusted Entry Points</w:t>
      </w:r>
    </w:p>
    <w:p w14:paraId="638663B1"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most accessible and most trusted participation spaces for rural youth are not formal state structures but community-based institutions: Kgotla assemblies and Village Development Committees in Botswana; age-grade associations and Sarkin Samari traditional youth leadership in Nigeria; scouting groups and the andrimasompokonolona community watch in Madagascar; YUVA networks and Maisons Familiales Rurales in Mauritius; YEPP Italia Local Support Groups in Italy; the LAG Napoca Porolissum Rural Youth Parliament model in Romania; and Municipal Youth Councils in Greece. Effective Rural Youth Parliaments must be rooted in these community realities.</w:t>
      </w:r>
    </w:p>
    <w:p w14:paraId="35AB618E" w14:textId="77777777" w:rsidR="00F7034B" w:rsidRPr="00BE4EE4" w:rsidRDefault="00000000" w:rsidP="002823C1">
      <w:pPr>
        <w:rPr>
          <w:rFonts w:ascii="Poppins" w:hAnsi="Poppins" w:cs="Poppins"/>
          <w:color w:val="B7C3A1"/>
        </w:rPr>
      </w:pPr>
      <w:r w:rsidRPr="00BE4EE4">
        <w:rPr>
          <w:rFonts w:ascii="Poppins" w:eastAsia="Calibri" w:hAnsi="Poppins" w:cs="Poppins"/>
          <w:b/>
          <w:bCs/>
          <w:color w:val="B7C3A1"/>
          <w:sz w:val="28"/>
          <w:szCs w:val="28"/>
        </w:rPr>
        <w:t>4. Funding Gaps Are a Binding Constraint Everywhere</w:t>
      </w:r>
    </w:p>
    <w:p w14:paraId="0ACA5FC7" w14:textId="3DB6C033"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Youth-related public spending is chronically inadequate across all seven partner countries. In Nigeria, youth-related expenditure falls below one percent of state budgets in most states, </w:t>
      </w:r>
      <w:r w:rsidR="00671739">
        <w:rPr>
          <w:rFonts w:ascii="Poppins" w:eastAsia="Calibri" w:hAnsi="Poppins" w:cs="Poppins"/>
          <w:color w:val="1A1A1A"/>
        </w:rPr>
        <w:t xml:space="preserve">with recorded per-youth expenditure as low as NGN 4,299 </w:t>
      </w:r>
      <w:r w:rsidR="00671739">
        <w:rPr>
          <w:rFonts w:ascii="Poppins" w:eastAsia="Calibri" w:hAnsi="Poppins" w:cs="Poppins"/>
          <w:color w:val="1A1A1A"/>
        </w:rPr>
        <w:lastRenderedPageBreak/>
        <w:t>even in the highest-spending states such as Bayelsa (2022).</w:t>
      </w:r>
      <w:r w:rsidRPr="00BE4EE4">
        <w:rPr>
          <w:rFonts w:ascii="Poppins" w:eastAsia="Calibri" w:hAnsi="Poppins" w:cs="Poppins"/>
          <w:color w:val="1A1A1A"/>
        </w:rPr>
        <w:t xml:space="preserve"> In Madagascar, youth cannot afford transport to participation meetings. Even in European partner countries, participation structures are sustained by project-based funding rather than institutional budget lines, creating structural fragility and episodic engagement. Sustainable participation requires predictable, dedicated resources that are consistently absent.</w:t>
      </w:r>
    </w:p>
    <w:p w14:paraId="10C90AF2" w14:textId="77777777" w:rsidR="00F7034B" w:rsidRPr="00BE4EE4" w:rsidRDefault="00000000" w:rsidP="002823C1">
      <w:pPr>
        <w:rPr>
          <w:rFonts w:ascii="Poppins" w:hAnsi="Poppins" w:cs="Poppins"/>
          <w:color w:val="B7C3A1"/>
        </w:rPr>
      </w:pPr>
      <w:r w:rsidRPr="00BE4EE4">
        <w:rPr>
          <w:rFonts w:ascii="Poppins" w:eastAsia="Calibri" w:hAnsi="Poppins" w:cs="Poppins"/>
          <w:b/>
          <w:bCs/>
          <w:color w:val="B7C3A1"/>
          <w:sz w:val="28"/>
          <w:szCs w:val="28"/>
        </w:rPr>
        <w:t>5. Europe Has Proven Models; Sub-Saharan Africa Has the Energy</w:t>
      </w:r>
    </w:p>
    <w:p w14:paraId="0BB59B7E"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Romania's Rural Youth Parliament methodology, developed within the LAG Napoca Porolissum mountainous territory, offers the most directly applicable European model for SSA adaptation. Italy's YEPP Local Support Groups offer a sophisticated empowerment methodology combining resource provision, genuine youth ownership, and long-term relational investment. Sub-Saharan Africa brings extraordinary community energy, deep associational vitality, and unanimous appetite for Rural Youth Parliaments among all consulted stakeholders. EMPOWER+ facilitates a genuine, respectful, and bidirectional transfer of knowledge between these two continental contexts.</w:t>
      </w:r>
    </w:p>
    <w:p w14:paraId="511ADF61" w14:textId="77777777" w:rsidR="00F7034B" w:rsidRPr="00BE4EE4" w:rsidRDefault="00000000">
      <w:pPr>
        <w:pStyle w:val="Heading2"/>
        <w:keepNext/>
        <w:spacing w:before="280" w:after="80"/>
        <w:rPr>
          <w:rFonts w:ascii="Poppins" w:hAnsi="Poppins" w:cs="Poppins"/>
          <w:color w:val="2F6B3A"/>
        </w:rPr>
      </w:pPr>
      <w:bookmarkStart w:id="2" w:name="_Toc233200004"/>
      <w:r w:rsidRPr="00BE4EE4">
        <w:rPr>
          <w:rFonts w:ascii="Poppins" w:eastAsia="Calibri" w:hAnsi="Poppins" w:cs="Poppins"/>
          <w:color w:val="2F6B3A"/>
        </w:rPr>
        <w:t>Six Core Recommendations</w:t>
      </w:r>
      <w:bookmarkEnd w:id="2"/>
    </w:p>
    <w:p w14:paraId="0EF86555" w14:textId="77777777" w:rsidR="00F7034B" w:rsidRPr="00BE4EE4" w:rsidRDefault="00000000">
      <w:pPr>
        <w:numPr>
          <w:ilvl w:val="0"/>
          <w:numId w:val="2"/>
        </w:numPr>
        <w:spacing w:before="40" w:after="60"/>
        <w:jc w:val="both"/>
        <w:rPr>
          <w:rFonts w:ascii="Poppins" w:hAnsi="Poppins" w:cs="Poppins"/>
        </w:rPr>
      </w:pPr>
      <w:r w:rsidRPr="00BE4EE4">
        <w:rPr>
          <w:rFonts w:ascii="Poppins" w:eastAsia="Calibri" w:hAnsi="Poppins" w:cs="Poppins"/>
          <w:color w:val="1A1A1A"/>
        </w:rPr>
        <w:t xml:space="preserve">Anchor Rural Youth Parliaments at local level, at ward, district, or local government area scale, where rural young people </w:t>
      </w:r>
      <w:proofErr w:type="gramStart"/>
      <w:r w:rsidRPr="00BE4EE4">
        <w:rPr>
          <w:rFonts w:ascii="Poppins" w:eastAsia="Calibri" w:hAnsi="Poppins" w:cs="Poppins"/>
          <w:color w:val="1A1A1A"/>
        </w:rPr>
        <w:t>actually live</w:t>
      </w:r>
      <w:proofErr w:type="gramEnd"/>
      <w:r w:rsidRPr="00BE4EE4">
        <w:rPr>
          <w:rFonts w:ascii="Poppins" w:eastAsia="Calibri" w:hAnsi="Poppins" w:cs="Poppins"/>
          <w:color w:val="1A1A1A"/>
        </w:rPr>
        <w:t>, ensuring institutional recognition and dedicated public funding from the outset.</w:t>
      </w:r>
    </w:p>
    <w:p w14:paraId="6A54203A" w14:textId="77777777" w:rsidR="00F7034B" w:rsidRPr="00BE4EE4" w:rsidRDefault="00000000">
      <w:pPr>
        <w:numPr>
          <w:ilvl w:val="0"/>
          <w:numId w:val="2"/>
        </w:numPr>
        <w:spacing w:before="40" w:after="60"/>
        <w:jc w:val="both"/>
        <w:rPr>
          <w:rFonts w:ascii="Poppins" w:hAnsi="Poppins" w:cs="Poppins"/>
        </w:rPr>
      </w:pPr>
      <w:r w:rsidRPr="00BE4EE4">
        <w:rPr>
          <w:rFonts w:ascii="Poppins" w:eastAsia="Calibri" w:hAnsi="Poppins" w:cs="Poppins"/>
          <w:color w:val="1A1A1A"/>
        </w:rPr>
        <w:t>Move structurally from consultation to co-decision. Design RYPs with formal channels for submitting proposals to authorities, obligatory response mechanisms, and public tracking of whether youth inputs lead to traceable action.</w:t>
      </w:r>
    </w:p>
    <w:p w14:paraId="386553AC" w14:textId="38857C65" w:rsidR="00F7034B" w:rsidRPr="00BE4EE4" w:rsidRDefault="00000000">
      <w:pPr>
        <w:numPr>
          <w:ilvl w:val="0"/>
          <w:numId w:val="2"/>
        </w:numPr>
        <w:spacing w:before="40" w:after="60"/>
        <w:jc w:val="both"/>
        <w:rPr>
          <w:rFonts w:ascii="Poppins" w:hAnsi="Poppins" w:cs="Poppins"/>
        </w:rPr>
      </w:pPr>
      <w:r w:rsidRPr="00BE4EE4">
        <w:rPr>
          <w:rFonts w:ascii="Poppins" w:eastAsia="Calibri" w:hAnsi="Poppins" w:cs="Poppins"/>
          <w:color w:val="1A1A1A"/>
        </w:rPr>
        <w:lastRenderedPageBreak/>
        <w:t xml:space="preserve">Design all participation activities for rural reality: ensure timing, location, language, and cost of participation are genuinely compatible with rural </w:t>
      </w:r>
      <w:r w:rsidR="007E54EE" w:rsidRPr="00BE4EE4">
        <w:rPr>
          <w:rFonts w:ascii="Poppins" w:eastAsia="Calibri" w:hAnsi="Poppins" w:cs="Poppins"/>
          <w:color w:val="1A1A1A"/>
        </w:rPr>
        <w:t>livelihoods and</w:t>
      </w:r>
      <w:r w:rsidRPr="00BE4EE4">
        <w:rPr>
          <w:rFonts w:ascii="Poppins" w:eastAsia="Calibri" w:hAnsi="Poppins" w:cs="Poppins"/>
          <w:color w:val="1A1A1A"/>
        </w:rPr>
        <w:t xml:space="preserve"> provide transport and subsistence support as standard practice.</w:t>
      </w:r>
    </w:p>
    <w:p w14:paraId="2247B7F7" w14:textId="77777777" w:rsidR="00F7034B" w:rsidRPr="00BE4EE4" w:rsidRDefault="00000000">
      <w:pPr>
        <w:numPr>
          <w:ilvl w:val="0"/>
          <w:numId w:val="2"/>
        </w:numPr>
        <w:spacing w:before="40" w:after="60"/>
        <w:jc w:val="both"/>
        <w:rPr>
          <w:rFonts w:ascii="Poppins" w:hAnsi="Poppins" w:cs="Poppins"/>
        </w:rPr>
      </w:pPr>
      <w:r w:rsidRPr="00BE4EE4">
        <w:rPr>
          <w:rFonts w:ascii="Poppins" w:eastAsia="Calibri" w:hAnsi="Poppins" w:cs="Poppins"/>
          <w:color w:val="1A1A1A"/>
        </w:rPr>
        <w:t>Work with traditional and community leaders as active partners in RYP design, launch, and governance, not as passive endorsers. In Sub-Saharan African contexts, the legitimacy of traditional authority is a resource that makes the difference between sustainability and collapse.</w:t>
      </w:r>
    </w:p>
    <w:p w14:paraId="34694756" w14:textId="77777777" w:rsidR="00F7034B" w:rsidRPr="00BE4EE4" w:rsidRDefault="00000000">
      <w:pPr>
        <w:numPr>
          <w:ilvl w:val="0"/>
          <w:numId w:val="2"/>
        </w:numPr>
        <w:spacing w:before="40" w:after="60"/>
        <w:jc w:val="both"/>
        <w:rPr>
          <w:rFonts w:ascii="Poppins" w:hAnsi="Poppins" w:cs="Poppins"/>
        </w:rPr>
      </w:pPr>
      <w:r w:rsidRPr="00BE4EE4">
        <w:rPr>
          <w:rFonts w:ascii="Poppins" w:eastAsia="Calibri" w:hAnsi="Poppins" w:cs="Poppins"/>
          <w:color w:val="1A1A1A"/>
        </w:rPr>
        <w:t>Build inclusion of the most excluded into RYP design from inception: minimum quotas for young women, youth with disabilities, school dropouts, and youth from the most remote communities must be constitutional requirements, not aspirational add-ons.</w:t>
      </w:r>
    </w:p>
    <w:p w14:paraId="45E28875" w14:textId="77777777" w:rsidR="00F7034B" w:rsidRPr="00BE4EE4" w:rsidRDefault="00000000">
      <w:pPr>
        <w:numPr>
          <w:ilvl w:val="0"/>
          <w:numId w:val="2"/>
        </w:numPr>
        <w:spacing w:before="40" w:after="60"/>
        <w:jc w:val="both"/>
        <w:rPr>
          <w:rFonts w:ascii="Poppins" w:hAnsi="Poppins" w:cs="Poppins"/>
        </w:rPr>
      </w:pPr>
      <w:r w:rsidRPr="00BE4EE4">
        <w:rPr>
          <w:rFonts w:ascii="Poppins" w:eastAsia="Calibri" w:hAnsi="Poppins" w:cs="Poppins"/>
          <w:color w:val="1A1A1A"/>
        </w:rPr>
        <w:t>Plan actively for sustainability beyond the project cycle. Train local facilitators, embed RYP activities in governance calendars, and build peer networks. The measure of success is what endures after EMPOWER+ ends.</w:t>
      </w:r>
    </w:p>
    <w:p w14:paraId="29A9197B" w14:textId="272833DD" w:rsidR="009D0278" w:rsidRPr="00BE4EE4" w:rsidRDefault="009D0278">
      <w:pPr>
        <w:rPr>
          <w:rFonts w:ascii="Poppins" w:eastAsia="Calibri" w:hAnsi="Poppins" w:cs="Poppins"/>
          <w:i/>
          <w:iCs/>
        </w:rPr>
      </w:pPr>
      <w:r w:rsidRPr="00BE4EE4">
        <w:rPr>
          <w:rFonts w:ascii="Poppins" w:eastAsia="Calibri" w:hAnsi="Poppins" w:cs="Poppins"/>
          <w:i/>
          <w:iCs/>
          <w:noProof/>
        </w:rPr>
        <mc:AlternateContent>
          <mc:Choice Requires="wps">
            <w:drawing>
              <wp:anchor distT="0" distB="0" distL="114300" distR="114300" simplePos="0" relativeHeight="251660288" behindDoc="0" locked="0" layoutInCell="1" allowOverlap="1" wp14:anchorId="4C5A5F21" wp14:editId="623DC513">
                <wp:simplePos x="0" y="0"/>
                <wp:positionH relativeFrom="column">
                  <wp:posOffset>-243840</wp:posOffset>
                </wp:positionH>
                <wp:positionV relativeFrom="paragraph">
                  <wp:posOffset>102870</wp:posOffset>
                </wp:positionV>
                <wp:extent cx="6074526" cy="1257300"/>
                <wp:effectExtent l="0" t="0" r="21590" b="19050"/>
                <wp:wrapNone/>
                <wp:docPr id="15052325" name="Rectangle 3"/>
                <wp:cNvGraphicFramePr/>
                <a:graphic xmlns:a="http://schemas.openxmlformats.org/drawingml/2006/main">
                  <a:graphicData uri="http://schemas.microsoft.com/office/word/2010/wordprocessingShape">
                    <wps:wsp>
                      <wps:cNvSpPr/>
                      <wps:spPr>
                        <a:xfrm>
                          <a:off x="0" y="0"/>
                          <a:ext cx="6074526" cy="125730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E62D8" id="Rectangle 3" o:spid="_x0000_s1026" style="position:absolute;margin-left:-19.2pt;margin-top:8.1pt;width:478.3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" filled="f" strokecolor="#9bbb59 [3206]">
                <v:stroke joinstyle="round"/>
              </v:rect>
            </w:pict>
          </mc:Fallback>
        </mc:AlternateContent>
      </w:r>
    </w:p>
    <w:p w14:paraId="4AE2E4D5" w14:textId="77777777" w:rsidR="009D0278" w:rsidRPr="00BE4EE4" w:rsidRDefault="009D0278" w:rsidP="009D0278">
      <w:pPr>
        <w:rPr>
          <w:rFonts w:ascii="Poppins" w:hAnsi="Poppins" w:cs="Poppins"/>
        </w:rPr>
      </w:pPr>
      <w:r w:rsidRPr="00BE4EE4">
        <w:rPr>
          <w:rFonts w:ascii="Poppins" w:hAnsi="Poppins" w:cs="Poppins"/>
          <w:i/>
          <w:iCs/>
        </w:rPr>
        <w:t>The full analytical findings, country evidence, comparative analysis, and detailed recommendations supporting these conclusions are presented in Sections 1 through 6 of this report. Annex A provides country summary profiles; Annex B provides a glossary of key terms and abbreviations.</w:t>
      </w:r>
    </w:p>
    <w:p w14:paraId="0B33F7D2" w14:textId="6FF1C896" w:rsidR="00F7034B" w:rsidRPr="00BE4EE4" w:rsidRDefault="00000000">
      <w:pPr>
        <w:rPr>
          <w:rFonts w:ascii="Poppins" w:hAnsi="Poppins" w:cs="Poppins"/>
        </w:rPr>
      </w:pPr>
      <w:r w:rsidRPr="00BE4EE4">
        <w:rPr>
          <w:rFonts w:ascii="Poppins" w:hAnsi="Poppins" w:cs="Poppins"/>
        </w:rPr>
        <w:br w:type="page"/>
      </w:r>
    </w:p>
    <w:p w14:paraId="63B6DD06" w14:textId="77777777" w:rsidR="00F7034B" w:rsidRPr="00BE4EE4" w:rsidRDefault="00000000">
      <w:pPr>
        <w:pStyle w:val="Heading1"/>
        <w:keepNext/>
        <w:spacing w:before="360" w:after="120"/>
        <w:rPr>
          <w:rFonts w:ascii="Poppins" w:hAnsi="Poppins" w:cs="Poppins"/>
          <w:color w:val="2F6B3A"/>
        </w:rPr>
      </w:pPr>
      <w:bookmarkStart w:id="3" w:name="_Toc233200005"/>
      <w:r w:rsidRPr="00BE4EE4">
        <w:rPr>
          <w:rFonts w:ascii="Poppins" w:eastAsia="Calibri" w:hAnsi="Poppins" w:cs="Poppins"/>
          <w:color w:val="2F6B3A"/>
        </w:rPr>
        <w:lastRenderedPageBreak/>
        <w:t>1. Introduction</w:t>
      </w:r>
      <w:bookmarkEnd w:id="3"/>
    </w:p>
    <w:p w14:paraId="794A0FAF" w14:textId="77777777" w:rsidR="00F7034B" w:rsidRPr="00BE4EE4" w:rsidRDefault="00000000">
      <w:pPr>
        <w:pStyle w:val="Heading2"/>
        <w:keepNext/>
        <w:spacing w:before="280" w:after="80"/>
        <w:rPr>
          <w:rFonts w:ascii="Poppins" w:hAnsi="Poppins" w:cs="Poppins"/>
          <w:color w:val="B7C3A1"/>
        </w:rPr>
      </w:pPr>
      <w:bookmarkStart w:id="4" w:name="_Toc233200006"/>
      <w:r w:rsidRPr="00BE4EE4">
        <w:rPr>
          <w:rFonts w:ascii="Poppins" w:eastAsia="Calibri" w:hAnsi="Poppins" w:cs="Poppins"/>
          <w:color w:val="B7C3A1"/>
        </w:rPr>
        <w:t>1.1 The EMPOWER+ Project: Context and Rationale</w:t>
      </w:r>
      <w:bookmarkEnd w:id="4"/>
    </w:p>
    <w:p w14:paraId="2948AAFB"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EMPOWER+ is a Capacity Building in the Field of Youth project funded under the Erasmus+ programme of the European Union (ERASMUS-YOUTH-2025-CB-SSA, Project No. 101243075). The project brings together a seven-country consortium spanning Sub-Saharan Africa and Europe, united by a shared commitment to strengthening the civic participation and democratic agency of young people living in rural communities.</w:t>
      </w:r>
    </w:p>
    <w:p w14:paraId="63D42324"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project emerged from a clearly documented gap in the landscape of international youth development cooperation: while youth participation has been a stated priority of both the EU Youth Strategy and continental African policy frameworks for over two decades, the rural dimension of youth exclusion from governance has remained persistently under-addressed. Urban youth parliaments, national youth councils, and digital participation platforms have proliferated, while the structural barriers facing rural youth have remained largely unchanged. EMPOWER+ is designed to address this gap directly and systematically.</w:t>
      </w:r>
    </w:p>
    <w:p w14:paraId="5C55129D"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project's central mechanism is the Rural Youth Parliament: a structured, participatory governance body operating at sub-national level that enables rural youth to debate issues affecting their communities, formulate concrete proposals, and engage in accountable dialogue with local, regional, and national decision-makers. Rural Youth Parliaments are intended to function as sustainable governance infrastructure, not as one-off project events or symbolic gestures toward inclusion.</w:t>
      </w:r>
    </w:p>
    <w:p w14:paraId="46B7F883"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The project operates along two interconnected axes. In Sub-Saharan Africa, Botswana, Madagascar, Mauritius, and Nigeria, the project works to establish and </w:t>
      </w:r>
      <w:r w:rsidRPr="00BE4EE4">
        <w:rPr>
          <w:rFonts w:ascii="Poppins" w:eastAsia="Calibri" w:hAnsi="Poppins" w:cs="Poppins"/>
          <w:color w:val="1A1A1A"/>
        </w:rPr>
        <w:lastRenderedPageBreak/>
        <w:t>strengthen RYPs, addressing structural gaps in rural youth participation documented through a needs analysis conducted in February 2025. In Europe, Greece, Italy, and Romania, the project contributes knowledge, tested methodologies, and institutional experience to support SSA design processes, while simultaneously strengthening domestic rural youth participation practices. The knowledge transfer at the heart of EMPOWER+ is explicitly conceived as bidirectional.</w:t>
      </w:r>
    </w:p>
    <w:p w14:paraId="1AC58D83" w14:textId="77777777" w:rsidR="00F7034B" w:rsidRPr="00BE4EE4" w:rsidRDefault="00000000">
      <w:pPr>
        <w:pStyle w:val="Heading2"/>
        <w:keepNext/>
        <w:spacing w:before="280" w:after="80"/>
        <w:rPr>
          <w:rFonts w:ascii="Poppins" w:hAnsi="Poppins" w:cs="Poppins"/>
          <w:color w:val="B7C3A1"/>
        </w:rPr>
      </w:pPr>
      <w:bookmarkStart w:id="5" w:name="_Toc233200007"/>
      <w:r w:rsidRPr="00BE4EE4">
        <w:rPr>
          <w:rFonts w:ascii="Poppins" w:eastAsia="Calibri" w:hAnsi="Poppins" w:cs="Poppins"/>
          <w:color w:val="B7C3A1"/>
        </w:rPr>
        <w:t>1.2 Consortium Composition</w:t>
      </w:r>
      <w:bookmarkEnd w:id="5"/>
    </w:p>
    <w:p w14:paraId="27D29EDA"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The consortium was constructed to maximise the complementarity of expertise and institutional roles. LAG Napoca Porolissum (Romania) serves as coordinator and brings direct experience of designing and implementing a Rural Youth Parliament model in a dispersed mountain territory. Connectus (Greece) leads Work Package 2 and contributes research coordination, analytical, and youth policy expertise. A Rocca (Italy) brings extensive Erasmus+ and European Solidarity Corps project management experience from Sicily. On the SSA side, the Tlokweng District Council and Joseph Mwelwa Consult (Botswana) bring local government and civil society expertise respectively; CEMEA Madagascar brings community education methodology; Federation des Maisons Familiales Rurales de Maurice et Rodrigues brings rural vocational training experience; and System Strategy and Policy Lab (Nigeria) </w:t>
      </w:r>
      <w:proofErr w:type="gramStart"/>
      <w:r w:rsidRPr="00BE4EE4">
        <w:rPr>
          <w:rFonts w:ascii="Poppins" w:eastAsia="Calibri" w:hAnsi="Poppins" w:cs="Poppins"/>
          <w:color w:val="1A1A1A"/>
        </w:rPr>
        <w:t>brings</w:t>
      </w:r>
      <w:proofErr w:type="gramEnd"/>
      <w:r w:rsidRPr="00BE4EE4">
        <w:rPr>
          <w:rFonts w:ascii="Poppins" w:eastAsia="Calibri" w:hAnsi="Poppins" w:cs="Poppins"/>
          <w:color w:val="1A1A1A"/>
        </w:rPr>
        <w:t xml:space="preserve"> policy research and youth governance expertise.</w:t>
      </w:r>
    </w:p>
    <w:p w14:paraId="5624D6E1" w14:textId="77777777" w:rsidR="00F7034B" w:rsidRPr="00BE4EE4" w:rsidRDefault="00000000">
      <w:pPr>
        <w:pStyle w:val="Heading2"/>
        <w:keepNext/>
        <w:spacing w:before="280" w:after="80"/>
        <w:rPr>
          <w:rFonts w:ascii="Poppins" w:hAnsi="Poppins" w:cs="Poppins"/>
          <w:color w:val="B7C3A1"/>
        </w:rPr>
      </w:pPr>
      <w:bookmarkStart w:id="6" w:name="_Toc233200008"/>
      <w:r w:rsidRPr="00BE4EE4">
        <w:rPr>
          <w:rFonts w:ascii="Poppins" w:eastAsia="Calibri" w:hAnsi="Poppins" w:cs="Poppins"/>
          <w:color w:val="B7C3A1"/>
        </w:rPr>
        <w:t>1.3 Purpose and Scope of This Report</w:t>
      </w:r>
      <w:bookmarkEnd w:id="6"/>
    </w:p>
    <w:p w14:paraId="5244D877" w14:textId="77777777" w:rsidR="00191040" w:rsidRPr="00BE4EE4" w:rsidRDefault="00191040" w:rsidP="00191040">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This Synthesis Report is Deliverable D2.1 of the EMPOWER+ project, consolidating findings from fourteen country level research documents produced under Tasks 2.1 and 2.2, spanning all seven partner countries across Sub-Saharan Africa and Europe. It is the principal analytical output of Work Package 2 and serves as the </w:t>
      </w:r>
      <w:r w:rsidRPr="00BE4EE4">
        <w:rPr>
          <w:rFonts w:ascii="Poppins" w:eastAsia="Calibri" w:hAnsi="Poppins" w:cs="Poppins"/>
          <w:color w:val="1A1A1A"/>
          <w:lang w:val="en-BE"/>
        </w:rPr>
        <w:lastRenderedPageBreak/>
        <w:t>evidence foundation on which the project's subsequent design, piloting, and advocacy phases are built. Its purpose is twofold: to render the substantial body of country level research into a single coherent comparative account, and to translate that account into actionable design guidance for the Rural Youth Parliaments at the centre of the EMPOWER+ intervention.</w:t>
      </w:r>
    </w:p>
    <w:p w14:paraId="36312F76" w14:textId="77777777" w:rsidR="00191040" w:rsidRPr="00BE4EE4" w:rsidRDefault="00191040" w:rsidP="00191040">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Task 2.1 required each partner country organisation to compile a comprehensive country report outlining available resources, legal and policy frameworks, and documented best practices for rural youth participation, and to identify gaps and areas requiring targeted development. Task 2.2 required each partner to produce an </w:t>
      </w:r>
      <w:proofErr w:type="gramStart"/>
      <w:r w:rsidRPr="00BE4EE4">
        <w:rPr>
          <w:rFonts w:ascii="Poppins" w:eastAsia="Calibri" w:hAnsi="Poppins" w:cs="Poppins"/>
          <w:color w:val="1A1A1A"/>
          <w:lang w:val="en-BE"/>
        </w:rPr>
        <w:t>analytical report mapping youth policy participation tools</w:t>
      </w:r>
      <w:proofErr w:type="gramEnd"/>
      <w:r w:rsidRPr="00BE4EE4">
        <w:rPr>
          <w:rFonts w:ascii="Poppins" w:eastAsia="Calibri" w:hAnsi="Poppins" w:cs="Poppins"/>
          <w:color w:val="1A1A1A"/>
          <w:lang w:val="en-BE"/>
        </w:rPr>
        <w:t>, analysing legal frameworks with specific attention to rural relevance and implementation gaps, and reporting on focus group or stakeholder consultation findings regarding the effectiveness of existing tools. Together these two tasks were designed to capture both the formal architecture of youth participation in each country and the lived experience of that architecture as reported by rural youth and the stakeholders who engage with them.</w:t>
      </w:r>
    </w:p>
    <w:p w14:paraId="72B78FFD" w14:textId="31C2A9A6" w:rsidR="00593C5E" w:rsidRPr="00BE4EE4" w:rsidRDefault="00191040" w:rsidP="00593C5E">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scope of this report is deliberately comparative rather than exhaustively descriptive. It does not reproduce the full content of the fourteen country reports, each of which remains available as a standalone source document. Instead, it draws out the patterns, contrasts, and transferable insights that emerge only when the country findings are read against one another. The report covers the four Sub-Saharan African partner countries where Rural Youth Parliaments are to be established or strengthened, and the three European partner countries that contribute tested methodologies and institutional experience to that process. Its intended audience includes the consortium partners responsible for the subsequent implementation phases, the youth workers and facilitators who will deliver Rural Youth Parliament activities, the policymakers and local authorities whose engagement determines institutional sustainability, and the European </w:t>
      </w:r>
      <w:r w:rsidRPr="00BE4EE4">
        <w:rPr>
          <w:rFonts w:ascii="Poppins" w:eastAsia="Calibri" w:hAnsi="Poppins" w:cs="Poppins"/>
          <w:color w:val="1A1A1A"/>
          <w:lang w:val="en-BE"/>
        </w:rPr>
        <w:lastRenderedPageBreak/>
        <w:t>Commission as the funding authority. The analytical findings, country evidence, comparative analysis, and recommendations that follow are organised to serve each of these audiences, with country summary profiles and reference material provided in the annexes for rapid consultation.</w:t>
      </w:r>
    </w:p>
    <w:p w14:paraId="18751660" w14:textId="281F6B48" w:rsidR="00147E25" w:rsidRPr="00BE4EE4" w:rsidRDefault="00000000" w:rsidP="00F33383">
      <w:pPr>
        <w:pStyle w:val="Heading2"/>
        <w:keepNext/>
        <w:spacing w:before="280" w:after="80"/>
        <w:rPr>
          <w:rFonts w:ascii="Poppins" w:hAnsi="Poppins" w:cs="Poppins"/>
          <w:color w:val="B7C3A1"/>
        </w:rPr>
      </w:pPr>
      <w:bookmarkStart w:id="7" w:name="_Toc233200009"/>
      <w:r w:rsidRPr="00BE4EE4">
        <w:rPr>
          <w:rFonts w:ascii="Poppins" w:eastAsia="Calibri" w:hAnsi="Poppins" w:cs="Poppins"/>
          <w:color w:val="B7C3A1"/>
        </w:rPr>
        <w:t>1.4 Methodology of the Synthesis</w:t>
      </w:r>
      <w:bookmarkEnd w:id="7"/>
    </w:p>
    <w:p w14:paraId="62321C6A" w14:textId="77777777" w:rsidR="00395DE0" w:rsidRPr="00BE4EE4" w:rsidRDefault="00395DE0" w:rsidP="00395DE0">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synthesis was developed through a structured comparative review of all available country reports assessed against four analytical dimensions: availability and accessibility of participation resources; strength and rural relevance of legal and policy frameworks; quality and transferability of documented best practices; and nature and severity of identified gaps. Comparative analysis was conducted both within country groupings and across the full seven country consortium. The four dimensions were applied consistently across every country report, ensuring that findings from contexts as different as Nigeria and Greece could be placed on a common analytical footing and compared without distortion. Each dimension captures a distinct aspect of the participation landscape that bears directly on Rural Youth Parliament design: the resources dimension establishes what rural youth can actually access, distinguishing resources that exist on paper from those that function in practice; the frameworks dimension examines whether the legal and policy environment merely permits participation or actively mandates, finances, and enforces it; the best practices dimension identifies models that work and assesses how readily they transfer; and the gaps dimension records what is missing and ranks each gap by its consequences for rural youth.</w:t>
      </w:r>
    </w:p>
    <w:p w14:paraId="3778EA72" w14:textId="77777777" w:rsidR="00395DE0" w:rsidRPr="00BE4EE4" w:rsidRDefault="00395DE0" w:rsidP="00395DE0">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comparative method operated at three levels. The first was a country level reading, in which each report was analysed </w:t>
      </w:r>
      <w:proofErr w:type="gramStart"/>
      <w:r w:rsidRPr="00BE4EE4">
        <w:rPr>
          <w:rFonts w:ascii="Poppins" w:eastAsia="Calibri" w:hAnsi="Poppins" w:cs="Poppins"/>
          <w:color w:val="1A1A1A"/>
          <w:lang w:val="en-BE"/>
        </w:rPr>
        <w:t>in its own right against</w:t>
      </w:r>
      <w:proofErr w:type="gramEnd"/>
      <w:r w:rsidRPr="00BE4EE4">
        <w:rPr>
          <w:rFonts w:ascii="Poppins" w:eastAsia="Calibri" w:hAnsi="Poppins" w:cs="Poppins"/>
          <w:color w:val="1A1A1A"/>
          <w:lang w:val="en-BE"/>
        </w:rPr>
        <w:t xml:space="preserve"> the four dimensions to produce a coherent national picture. The second was an </w:t>
      </w:r>
      <w:proofErr w:type="gramStart"/>
      <w:r w:rsidRPr="00BE4EE4">
        <w:rPr>
          <w:rFonts w:ascii="Poppins" w:eastAsia="Calibri" w:hAnsi="Poppins" w:cs="Poppins"/>
          <w:color w:val="1A1A1A"/>
          <w:lang w:val="en-BE"/>
        </w:rPr>
        <w:t>in group</w:t>
      </w:r>
      <w:proofErr w:type="gramEnd"/>
      <w:r w:rsidRPr="00BE4EE4">
        <w:rPr>
          <w:rFonts w:ascii="Poppins" w:eastAsia="Calibri" w:hAnsi="Poppins" w:cs="Poppins"/>
          <w:color w:val="1A1A1A"/>
          <w:lang w:val="en-BE"/>
        </w:rPr>
        <w:t xml:space="preserve"> analysis, in which the four Sub-Saharan African countries were compared with one </w:t>
      </w:r>
      <w:r w:rsidRPr="00BE4EE4">
        <w:rPr>
          <w:rFonts w:ascii="Poppins" w:eastAsia="Calibri" w:hAnsi="Poppins" w:cs="Poppins"/>
          <w:color w:val="1A1A1A"/>
          <w:lang w:val="en-BE"/>
        </w:rPr>
        <w:lastRenderedPageBreak/>
        <w:t xml:space="preserve">another, and the three European countries were compared with one another, to surface the patterns specific to each regional cluster. The third was a </w:t>
      </w:r>
      <w:proofErr w:type="gramStart"/>
      <w:r w:rsidRPr="00BE4EE4">
        <w:rPr>
          <w:rFonts w:ascii="Poppins" w:eastAsia="Calibri" w:hAnsi="Poppins" w:cs="Poppins"/>
          <w:color w:val="1A1A1A"/>
          <w:lang w:val="en-BE"/>
        </w:rPr>
        <w:t>cross consortium</w:t>
      </w:r>
      <w:proofErr w:type="gramEnd"/>
      <w:r w:rsidRPr="00BE4EE4">
        <w:rPr>
          <w:rFonts w:ascii="Poppins" w:eastAsia="Calibri" w:hAnsi="Poppins" w:cs="Poppins"/>
          <w:color w:val="1A1A1A"/>
          <w:lang w:val="en-BE"/>
        </w:rPr>
        <w:t xml:space="preserve"> analysis, in which findings from all seven countries were read together to identify the challenges and design principles that hold across both continents. This layered approach allows the report to distinguish between challenges specific to a single national context, those common to a regional grouping, and those genuinely universal across the consortium. The distinction matters for design: a local difficulty calls for a tailored national response, a shared regional challenge points to a common cluster strategy, and a challenge present across all seven countries indicates a structural feature that any Rural Youth Parliament model must address from the outset.</w:t>
      </w:r>
    </w:p>
    <w:p w14:paraId="34C6EC62" w14:textId="77777777" w:rsidR="00395DE0" w:rsidRPr="00BE4EE4" w:rsidRDefault="00395DE0" w:rsidP="00395DE0">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A consistent methodological distinction runs throughout this synthesis: the difference between what exists formally in legislation and policy, the de jure landscape, and what functions in practice as evidenced by stakeholder testimony and focus group findings, the de facto reality. This distinction is the central diagnostic insight that gives the recommendations in this report their analytical grounding and practical urgency. Across all seven countries, the gap between formal provision and practical accessibility emerged as the defining feature of rural youth participation, and the synthesis is structured to keep that gap in view at every level of analysis. Where the formal and the practical diverge, it is the divergence itself that becomes the object of analysis, because it is in that gap that the barriers to meaningful rural youth participation are located.</w:t>
      </w:r>
    </w:p>
    <w:p w14:paraId="79FFF44B" w14:textId="32158F4E" w:rsidR="002462A0" w:rsidRPr="00BE4EE4" w:rsidRDefault="00395DE0" w:rsidP="00DD76FE">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evidence base for the synthesis combines desk research, documentary and policy review, stakeholder consultation, structured interviews, and focus group discussions, with the specific methods and participant numbers for each country set out in Section 1.5. The diversity of methods across the consortium reflects the differing institutional contexts and research capacities of the partners, and the comparative reading takes this variation into account when weighing the strength </w:t>
      </w:r>
      <w:r w:rsidRPr="00BE4EE4">
        <w:rPr>
          <w:rFonts w:ascii="Poppins" w:eastAsia="Calibri" w:hAnsi="Poppins" w:cs="Poppins"/>
          <w:color w:val="1A1A1A"/>
          <w:lang w:val="en-BE"/>
        </w:rPr>
        <w:lastRenderedPageBreak/>
        <w:t>of evidence behind each finding. Country reports grounded in extensive primary consultation, such as the multi stakeholder focus groups in Botswana or the thirty four person consultation in Madagascar, carry direct experiential evidence of how participation tools function for rural youth, while reports based primarily on desk research, such as those for Greece</w:t>
      </w:r>
      <w:r w:rsidR="00BB5850" w:rsidRPr="00BE4EE4">
        <w:rPr>
          <w:rFonts w:ascii="Poppins" w:eastAsia="Calibri" w:hAnsi="Poppins" w:cs="Poppins"/>
          <w:color w:val="1A1A1A"/>
          <w:lang w:val="en-BE"/>
        </w:rPr>
        <w:t>, Italy</w:t>
      </w:r>
      <w:r w:rsidRPr="00BE4EE4">
        <w:rPr>
          <w:rFonts w:ascii="Poppins" w:eastAsia="Calibri" w:hAnsi="Poppins" w:cs="Poppins"/>
          <w:color w:val="1A1A1A"/>
          <w:lang w:val="en-BE"/>
        </w:rPr>
        <w:t xml:space="preserve"> and Romania, contribute detailed institutional and policy mapping suited to their role as reference contexts for methodology transfer. The synthesis treats these forms of evidence as complementary rather than equivalent, and the supporting detail on methods, participant numbers, and data sources is consolidated in Section 1.5 and in the evidence traceability annex.</w:t>
      </w:r>
    </w:p>
    <w:p w14:paraId="07446294" w14:textId="1817A48C" w:rsidR="00F7034B" w:rsidRPr="00BE4EE4" w:rsidRDefault="00000000">
      <w:pPr>
        <w:pStyle w:val="Heading2"/>
        <w:keepNext/>
        <w:spacing w:before="280" w:after="80"/>
        <w:rPr>
          <w:rFonts w:ascii="Poppins" w:hAnsi="Poppins" w:cs="Poppins"/>
          <w:color w:val="B7C3A1"/>
        </w:rPr>
      </w:pPr>
      <w:bookmarkStart w:id="8" w:name="_Toc233200010"/>
      <w:r w:rsidRPr="00BE4EE4">
        <w:rPr>
          <w:rFonts w:ascii="Poppins" w:eastAsia="Calibri" w:hAnsi="Poppins" w:cs="Poppins"/>
          <w:color w:val="B7C3A1"/>
        </w:rPr>
        <w:t xml:space="preserve">1.5 </w:t>
      </w:r>
      <w:r w:rsidR="00C326AA" w:rsidRPr="00BE4EE4">
        <w:rPr>
          <w:rFonts w:ascii="Poppins" w:eastAsia="Calibri" w:hAnsi="Poppins" w:cs="Poppins"/>
          <w:color w:val="B7C3A1"/>
        </w:rPr>
        <w:t>Partner Countries and Evidence Base Overview</w:t>
      </w:r>
      <w:bookmarkEnd w:id="8"/>
    </w:p>
    <w:p w14:paraId="7D517849" w14:textId="77777777" w:rsidR="00DC2E85" w:rsidRPr="00BE4EE4" w:rsidRDefault="00DC2E85" w:rsidP="00DC2E85">
      <w:pPr>
        <w:jc w:val="both"/>
        <w:rPr>
          <w:rFonts w:ascii="Poppins" w:eastAsia="Calibri" w:hAnsi="Poppins" w:cs="Poppins"/>
          <w:color w:val="1A1A1A"/>
          <w:lang w:val="en-BE"/>
        </w:rPr>
      </w:pPr>
      <w:r w:rsidRPr="00BE4EE4">
        <w:rPr>
          <w:rFonts w:ascii="Poppins" w:eastAsia="Calibri" w:hAnsi="Poppins" w:cs="Poppins"/>
          <w:color w:val="1A1A1A"/>
          <w:lang w:val="en-BE"/>
        </w:rPr>
        <w:t>The EMPOWER+ consortium spans seven countries across two continents: Botswana, Madagascar, Mauritius, and Nigeria in Sub-Saharan Africa, and Greece, Italy, and Romania in Europe. Tasks 2.1 and 2.2 have been completed across all partner countries, providing a comprehensive and geographically diverse evidence base for the comparative analysis presented in this report. The consortium was constructed to combine direct experience of rural youth parliament design with deep community knowledge across a wide range of governance contexts, income levels, and institutional traditions, so that the comparative analysis rests on genuine contextual diversity rather than on a single dominant model.</w:t>
      </w:r>
    </w:p>
    <w:p w14:paraId="448180BA" w14:textId="77777777" w:rsidR="00DC2E85" w:rsidRPr="00BE4EE4" w:rsidRDefault="00DC2E85" w:rsidP="00DC2E85">
      <w:pPr>
        <w:jc w:val="both"/>
        <w:rPr>
          <w:rFonts w:ascii="Poppins" w:eastAsia="Calibri" w:hAnsi="Poppins" w:cs="Poppins"/>
          <w:color w:val="1A1A1A"/>
          <w:lang w:val="en-BE"/>
        </w:rPr>
      </w:pPr>
    </w:p>
    <w:p w14:paraId="3980904A" w14:textId="77777777" w:rsidR="00DC2E85" w:rsidRPr="00BE4EE4" w:rsidRDefault="00DC2E85" w:rsidP="00DC2E85">
      <w:pPr>
        <w:jc w:val="both"/>
        <w:rPr>
          <w:rFonts w:ascii="Poppins" w:eastAsia="Calibri" w:hAnsi="Poppins" w:cs="Poppins"/>
          <w:color w:val="1A1A1A"/>
          <w:lang w:val="en-BE"/>
        </w:rPr>
      </w:pPr>
      <w:r w:rsidRPr="00BE4EE4">
        <w:rPr>
          <w:rFonts w:ascii="Poppins" w:eastAsia="Calibri" w:hAnsi="Poppins" w:cs="Poppins"/>
          <w:color w:val="1A1A1A"/>
          <w:lang w:val="en-BE"/>
        </w:rPr>
        <w:t xml:space="preserve">The seven countries together represent a deliberately broad spectrum of conditions. They range from Nigeria, the most populous country on the African continent with a complex multi level governance architecture, to Mauritius, a small </w:t>
      </w:r>
      <w:r w:rsidRPr="00BE4EE4">
        <w:rPr>
          <w:rFonts w:ascii="Poppins" w:eastAsia="Calibri" w:hAnsi="Poppins" w:cs="Poppins"/>
          <w:color w:val="1A1A1A"/>
          <w:lang w:val="en-BE"/>
        </w:rPr>
        <w:lastRenderedPageBreak/>
        <w:t>island state with a relatively developed institutional ecosystem, and from Madagascar, where economic and geographic barriers to participation are most acute, to Romania, which contributes a tested and fully documented Rural Youth Parliament methodology. This range is a methodological asset: it allows the analysis to test whether the patterns observed in rural youth participation hold across very different development levels and institutional environments, and the finding that the core challenges recur across all seven contexts is given weight precisely because the contexts are so varied.</w:t>
      </w:r>
    </w:p>
    <w:p w14:paraId="0E2FC5B5" w14:textId="77777777" w:rsidR="00DC2E85" w:rsidRPr="00BE4EE4" w:rsidRDefault="00DC2E85" w:rsidP="00DC2E85">
      <w:pPr>
        <w:jc w:val="both"/>
        <w:rPr>
          <w:rFonts w:ascii="Poppins" w:eastAsia="Calibri" w:hAnsi="Poppins" w:cs="Poppins"/>
          <w:color w:val="1A1A1A"/>
          <w:lang w:val="en-BE"/>
        </w:rPr>
      </w:pPr>
    </w:p>
    <w:p w14:paraId="142C45D2" w14:textId="77777777" w:rsidR="00DC2E85" w:rsidRPr="00BE4EE4" w:rsidRDefault="00DC2E85" w:rsidP="00DC2E85">
      <w:pPr>
        <w:jc w:val="both"/>
        <w:rPr>
          <w:rFonts w:ascii="Poppins" w:eastAsia="Calibri" w:hAnsi="Poppins" w:cs="Poppins"/>
          <w:color w:val="1A1A1A"/>
          <w:lang w:val="en-BE"/>
        </w:rPr>
      </w:pPr>
      <w:r w:rsidRPr="00BE4EE4">
        <w:rPr>
          <w:rFonts w:ascii="Poppins" w:eastAsia="Calibri" w:hAnsi="Poppins" w:cs="Poppins"/>
          <w:color w:val="1A1A1A"/>
          <w:lang w:val="en-BE"/>
        </w:rPr>
        <w:t>The table below consolidates the primary evidence underpinning the country findings across Tasks 2.1 and 2.2. It presents the consultation methods used by each partner, the number of participants engaged, the stakeholder categories involved, and the availability of gender disaggregated data. Where partner reports did not record participant gender in disaggregated form, this is indicated as not disaggregated in the source report. Figures reflect the methodologies documented in the fourteen country reports synthesised in this deliverable.</w:t>
      </w:r>
    </w:p>
    <w:p w14:paraId="07BC2A50" w14:textId="174BFB7C" w:rsidR="00B65425" w:rsidRPr="00BE4EE4" w:rsidRDefault="00B65425" w:rsidP="00B65425">
      <w:pPr>
        <w:jc w:val="both"/>
        <w:rPr>
          <w:rFonts w:ascii="Poppins" w:eastAsia="Calibri" w:hAnsi="Poppins" w:cs="Poppins"/>
          <w:color w:val="1A1A1A"/>
          <w:lang w:val="en-BE"/>
        </w:rPr>
      </w:pPr>
    </w:p>
    <w:p w14:paraId="5C4C343E" w14:textId="77777777" w:rsidR="00B65425" w:rsidRPr="00BE4EE4" w:rsidRDefault="00B65425" w:rsidP="0052774F">
      <w:pPr>
        <w:jc w:val="both"/>
        <w:rPr>
          <w:rFonts w:ascii="Poppins" w:hAnsi="Poppins" w:cs="Poppins"/>
        </w:rPr>
      </w:pPr>
    </w:p>
    <w:p w14:paraId="3B176401" w14:textId="77777777" w:rsidR="00D540B4" w:rsidRPr="00BE4EE4" w:rsidRDefault="00D540B4" w:rsidP="0052774F">
      <w:pPr>
        <w:jc w:val="both"/>
        <w:rPr>
          <w:rFonts w:ascii="Poppins" w:hAnsi="Poppins" w:cs="Poppins"/>
        </w:rPr>
      </w:pPr>
    </w:p>
    <w:p w14:paraId="221EEAA7" w14:textId="77777777" w:rsidR="00D540B4" w:rsidRPr="00BE4EE4" w:rsidRDefault="00D540B4" w:rsidP="0052774F">
      <w:pPr>
        <w:jc w:val="both"/>
        <w:rPr>
          <w:rFonts w:ascii="Poppins" w:hAnsi="Poppins" w:cs="Poppins"/>
        </w:rPr>
      </w:pPr>
    </w:p>
    <w:p w14:paraId="7743B671" w14:textId="77777777" w:rsidR="00D540B4" w:rsidRPr="00BE4EE4" w:rsidRDefault="00D540B4" w:rsidP="0052774F">
      <w:pPr>
        <w:jc w:val="both"/>
        <w:rPr>
          <w:rFonts w:ascii="Poppins" w:hAnsi="Poppins" w:cs="Poppins"/>
        </w:rPr>
      </w:pPr>
    </w:p>
    <w:tbl>
      <w:tblPr>
        <w:tblStyle w:val="PlainTable1"/>
        <w:tblpPr w:leftFromText="180" w:rightFromText="180" w:vertAnchor="text" w:horzAnchor="margin" w:tblpXSpec="center" w:tblpY="-60"/>
        <w:tblW w:w="9096" w:type="dxa"/>
        <w:tblLook w:val="04A0" w:firstRow="1" w:lastRow="0" w:firstColumn="1" w:lastColumn="0" w:noHBand="0" w:noVBand="1"/>
      </w:tblPr>
      <w:tblGrid>
        <w:gridCol w:w="1533"/>
        <w:gridCol w:w="1783"/>
        <w:gridCol w:w="1597"/>
        <w:gridCol w:w="2471"/>
        <w:gridCol w:w="1712"/>
      </w:tblGrid>
      <w:tr w:rsidR="00B65425" w:rsidRPr="00BE4EE4" w14:paraId="2F70A325" w14:textId="77777777" w:rsidTr="00C430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dxa"/>
            <w:hideMark/>
          </w:tcPr>
          <w:p w14:paraId="727D195E" w14:textId="77777777" w:rsidR="00B65425" w:rsidRPr="00AA7DB0" w:rsidRDefault="00B65425" w:rsidP="00D540B4">
            <w:pPr>
              <w:spacing w:before="60" w:after="100" w:line="276" w:lineRule="auto"/>
              <w:rPr>
                <w:rFonts w:ascii="Poppins" w:hAnsi="Poppins" w:cs="Poppins"/>
                <w:sz w:val="20"/>
                <w:szCs w:val="20"/>
                <w:lang w:val="en-BE"/>
              </w:rPr>
            </w:pPr>
            <w:r w:rsidRPr="00AA7DB0">
              <w:rPr>
                <w:rFonts w:ascii="Poppins" w:hAnsi="Poppins" w:cs="Poppins"/>
                <w:sz w:val="20"/>
                <w:szCs w:val="20"/>
                <w:lang w:val="en-BE"/>
              </w:rPr>
              <w:lastRenderedPageBreak/>
              <w:t>Country</w:t>
            </w:r>
          </w:p>
        </w:tc>
        <w:tc>
          <w:tcPr>
            <w:tcW w:w="1908" w:type="dxa"/>
            <w:hideMark/>
          </w:tcPr>
          <w:p w14:paraId="44432C1A" w14:textId="77777777" w:rsidR="00B65425" w:rsidRPr="00AA7DB0" w:rsidRDefault="00B65425" w:rsidP="00D540B4">
            <w:pPr>
              <w:spacing w:before="60" w:after="100" w:line="276" w:lineRule="auto"/>
              <w:cnfStyle w:val="100000000000" w:firstRow="1"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Task 2.1 method and participants</w:t>
            </w:r>
          </w:p>
        </w:tc>
        <w:tc>
          <w:tcPr>
            <w:tcW w:w="1636" w:type="dxa"/>
            <w:hideMark/>
          </w:tcPr>
          <w:p w14:paraId="5FFFAC26" w14:textId="77777777" w:rsidR="00B65425" w:rsidRPr="00AA7DB0" w:rsidRDefault="00B65425" w:rsidP="00D540B4">
            <w:pPr>
              <w:spacing w:before="60" w:after="100" w:line="276" w:lineRule="auto"/>
              <w:cnfStyle w:val="100000000000" w:firstRow="1"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Task 2.2 method and participants</w:t>
            </w:r>
          </w:p>
        </w:tc>
        <w:tc>
          <w:tcPr>
            <w:tcW w:w="2763" w:type="dxa"/>
            <w:hideMark/>
          </w:tcPr>
          <w:p w14:paraId="6E7C0B50" w14:textId="77777777" w:rsidR="00B65425" w:rsidRPr="00AA7DB0" w:rsidRDefault="00B65425" w:rsidP="00D540B4">
            <w:pPr>
              <w:spacing w:before="60" w:after="100" w:line="276" w:lineRule="auto"/>
              <w:cnfStyle w:val="100000000000" w:firstRow="1"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Stakeholder categories</w:t>
            </w:r>
          </w:p>
        </w:tc>
        <w:tc>
          <w:tcPr>
            <w:tcW w:w="1464" w:type="dxa"/>
            <w:hideMark/>
          </w:tcPr>
          <w:p w14:paraId="27CAF047" w14:textId="77777777" w:rsidR="00B65425" w:rsidRPr="00AA7DB0" w:rsidRDefault="00B65425" w:rsidP="00D540B4">
            <w:pPr>
              <w:spacing w:before="60" w:after="100" w:line="276" w:lineRule="auto"/>
              <w:cnfStyle w:val="100000000000" w:firstRow="1"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Gender data</w:t>
            </w:r>
          </w:p>
        </w:tc>
      </w:tr>
      <w:tr w:rsidR="00B65425" w:rsidRPr="00BE4EE4" w14:paraId="58B88771" w14:textId="77777777" w:rsidTr="00C43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dxa"/>
            <w:hideMark/>
          </w:tcPr>
          <w:p w14:paraId="0F2F83A2" w14:textId="77777777" w:rsidR="00B65425" w:rsidRPr="00AA7DB0" w:rsidRDefault="00B65425" w:rsidP="00D540B4">
            <w:pPr>
              <w:spacing w:before="60" w:after="100" w:line="276" w:lineRule="auto"/>
              <w:rPr>
                <w:rFonts w:ascii="Poppins" w:hAnsi="Poppins" w:cs="Poppins"/>
                <w:sz w:val="20"/>
                <w:szCs w:val="20"/>
                <w:lang w:val="en-BE"/>
              </w:rPr>
            </w:pPr>
            <w:r w:rsidRPr="00AA7DB0">
              <w:rPr>
                <w:rFonts w:ascii="Poppins" w:hAnsi="Poppins" w:cs="Poppins"/>
                <w:sz w:val="20"/>
                <w:szCs w:val="20"/>
                <w:lang w:val="en-BE"/>
              </w:rPr>
              <w:t>Botswana</w:t>
            </w:r>
          </w:p>
        </w:tc>
        <w:tc>
          <w:tcPr>
            <w:tcW w:w="1908" w:type="dxa"/>
            <w:hideMark/>
          </w:tcPr>
          <w:p w14:paraId="2CD99261" w14:textId="11F286E5"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Stakeholder consultation</w:t>
            </w:r>
            <w:r w:rsidR="00537D10" w:rsidRPr="00AA7DB0">
              <w:rPr>
                <w:rFonts w:ascii="Poppins" w:hAnsi="Poppins" w:cs="Poppins"/>
                <w:sz w:val="20"/>
                <w:szCs w:val="20"/>
                <w:lang w:val="en-BE"/>
              </w:rPr>
              <w:t xml:space="preserve">, survey </w:t>
            </w:r>
            <w:r w:rsidR="00CB10E1" w:rsidRPr="00AA7DB0">
              <w:rPr>
                <w:rFonts w:ascii="Poppins" w:hAnsi="Poppins" w:cs="Poppins"/>
                <w:sz w:val="20"/>
                <w:szCs w:val="20"/>
                <w:lang w:val="en-BE"/>
              </w:rPr>
              <w:t>respondents</w:t>
            </w:r>
            <w:r w:rsidRPr="00AA7DB0">
              <w:rPr>
                <w:rFonts w:ascii="Poppins" w:hAnsi="Poppins" w:cs="Poppins"/>
                <w:sz w:val="20"/>
                <w:szCs w:val="20"/>
                <w:lang w:val="en-BE"/>
              </w:rPr>
              <w:t xml:space="preserve"> and desk research</w:t>
            </w:r>
          </w:p>
        </w:tc>
        <w:tc>
          <w:tcPr>
            <w:tcW w:w="1636" w:type="dxa"/>
            <w:hideMark/>
          </w:tcPr>
          <w:p w14:paraId="31D15361"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 xml:space="preserve">Two multi stakeholder </w:t>
            </w:r>
            <w:proofErr w:type="spellStart"/>
            <w:r w:rsidRPr="00AA7DB0">
              <w:rPr>
                <w:rFonts w:ascii="Poppins" w:hAnsi="Poppins" w:cs="Poppins"/>
                <w:sz w:val="20"/>
                <w:szCs w:val="20"/>
                <w:lang w:val="en-BE"/>
              </w:rPr>
              <w:t>FGDs</w:t>
            </w:r>
            <w:proofErr w:type="spellEnd"/>
            <w:r w:rsidRPr="00AA7DB0">
              <w:rPr>
                <w:rFonts w:ascii="Poppins" w:hAnsi="Poppins" w:cs="Poppins"/>
                <w:sz w:val="20"/>
                <w:szCs w:val="20"/>
                <w:lang w:val="en-BE"/>
              </w:rPr>
              <w:t xml:space="preserve"> (</w:t>
            </w:r>
            <w:proofErr w:type="spellStart"/>
            <w:r w:rsidRPr="00AA7DB0">
              <w:rPr>
                <w:rFonts w:ascii="Poppins" w:hAnsi="Poppins" w:cs="Poppins"/>
                <w:sz w:val="20"/>
                <w:szCs w:val="20"/>
                <w:lang w:val="en-BE"/>
              </w:rPr>
              <w:t>Mogobane</w:t>
            </w:r>
            <w:proofErr w:type="spellEnd"/>
            <w:r w:rsidRPr="00AA7DB0">
              <w:rPr>
                <w:rFonts w:ascii="Poppins" w:hAnsi="Poppins" w:cs="Poppins"/>
                <w:sz w:val="20"/>
                <w:szCs w:val="20"/>
                <w:lang w:val="en-BE"/>
              </w:rPr>
              <w:t xml:space="preserve"> and Tlokweng)</w:t>
            </w:r>
          </w:p>
        </w:tc>
        <w:tc>
          <w:tcPr>
            <w:tcW w:w="2763" w:type="dxa"/>
            <w:hideMark/>
          </w:tcPr>
          <w:p w14:paraId="4678764C"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 xml:space="preserve">MP, councillors, VDC leadership, traditional and community leaders, district administration, Youth Programme Officers, Youth Parliament representatives, youth trainers, civil society (Youth Unlimited, </w:t>
            </w:r>
            <w:proofErr w:type="spellStart"/>
            <w:r w:rsidRPr="00AA7DB0">
              <w:rPr>
                <w:rFonts w:ascii="Poppins" w:hAnsi="Poppins" w:cs="Poppins"/>
                <w:sz w:val="20"/>
                <w:szCs w:val="20"/>
                <w:lang w:val="en-BE"/>
              </w:rPr>
              <w:t>Nkaikela</w:t>
            </w:r>
            <w:proofErr w:type="spellEnd"/>
            <w:r w:rsidRPr="00AA7DB0">
              <w:rPr>
                <w:rFonts w:ascii="Poppins" w:hAnsi="Poppins" w:cs="Poppins"/>
                <w:sz w:val="20"/>
                <w:szCs w:val="20"/>
                <w:lang w:val="en-BE"/>
              </w:rPr>
              <w:t xml:space="preserve"> Youth Group)</w:t>
            </w:r>
          </w:p>
        </w:tc>
        <w:tc>
          <w:tcPr>
            <w:tcW w:w="1464" w:type="dxa"/>
            <w:hideMark/>
          </w:tcPr>
          <w:p w14:paraId="165F1515"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Not disaggregated in source report</w:t>
            </w:r>
          </w:p>
        </w:tc>
      </w:tr>
      <w:tr w:rsidR="00B65425" w:rsidRPr="00BE4EE4" w14:paraId="1E0E5429" w14:textId="77777777" w:rsidTr="00C430E0">
        <w:tc>
          <w:tcPr>
            <w:cnfStyle w:val="001000000000" w:firstRow="0" w:lastRow="0" w:firstColumn="1" w:lastColumn="0" w:oddVBand="0" w:evenVBand="0" w:oddHBand="0" w:evenHBand="0" w:firstRowFirstColumn="0" w:firstRowLastColumn="0" w:lastRowFirstColumn="0" w:lastRowLastColumn="0"/>
            <w:tcW w:w="1325" w:type="dxa"/>
            <w:hideMark/>
          </w:tcPr>
          <w:p w14:paraId="3A30D876" w14:textId="77777777" w:rsidR="00B65425" w:rsidRPr="00AA7DB0" w:rsidRDefault="00B65425" w:rsidP="00D540B4">
            <w:pPr>
              <w:spacing w:before="60" w:after="100" w:line="276" w:lineRule="auto"/>
              <w:rPr>
                <w:rFonts w:ascii="Poppins" w:hAnsi="Poppins" w:cs="Poppins"/>
                <w:sz w:val="20"/>
                <w:szCs w:val="20"/>
                <w:lang w:val="en-BE"/>
              </w:rPr>
            </w:pPr>
            <w:r w:rsidRPr="00AA7DB0">
              <w:rPr>
                <w:rFonts w:ascii="Poppins" w:hAnsi="Poppins" w:cs="Poppins"/>
                <w:sz w:val="20"/>
                <w:szCs w:val="20"/>
                <w:lang w:val="en-BE"/>
              </w:rPr>
              <w:t>Madagascar</w:t>
            </w:r>
          </w:p>
        </w:tc>
        <w:tc>
          <w:tcPr>
            <w:tcW w:w="1908" w:type="dxa"/>
            <w:hideMark/>
          </w:tcPr>
          <w:p w14:paraId="7EECFB9C" w14:textId="77A8FD53" w:rsidR="00B65425" w:rsidRPr="00AA7DB0" w:rsidRDefault="00B6542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Stakeholder consultation,</w:t>
            </w:r>
            <w:r w:rsidR="004944DF">
              <w:rPr>
                <w:rFonts w:ascii="Poppins" w:hAnsi="Poppins" w:cs="Poppins"/>
                <w:sz w:val="20"/>
                <w:szCs w:val="20"/>
                <w:lang w:val="en-BE"/>
              </w:rPr>
              <w:t xml:space="preserve"> 34</w:t>
            </w:r>
            <w:r w:rsidR="008E1550" w:rsidRPr="00AA7DB0">
              <w:rPr>
                <w:rFonts w:ascii="Poppins" w:hAnsi="Poppins" w:cs="Poppins"/>
                <w:sz w:val="20"/>
                <w:szCs w:val="20"/>
                <w:lang w:val="en-BE"/>
              </w:rPr>
              <w:t xml:space="preserve"> </w:t>
            </w:r>
            <w:r w:rsidR="004A1D26" w:rsidRPr="00AA7DB0">
              <w:rPr>
                <w:rFonts w:ascii="Poppins" w:hAnsi="Poppins" w:cs="Poppins"/>
                <w:sz w:val="20"/>
                <w:szCs w:val="20"/>
                <w:lang w:val="en-BE"/>
              </w:rPr>
              <w:t xml:space="preserve">survey </w:t>
            </w:r>
            <w:r w:rsidRPr="00AA7DB0">
              <w:rPr>
                <w:rFonts w:ascii="Poppins" w:hAnsi="Poppins" w:cs="Poppins"/>
                <w:sz w:val="20"/>
                <w:szCs w:val="20"/>
                <w:lang w:val="en-BE"/>
              </w:rPr>
              <w:t>respondents across seven regions</w:t>
            </w:r>
          </w:p>
        </w:tc>
        <w:tc>
          <w:tcPr>
            <w:tcW w:w="1636" w:type="dxa"/>
            <w:hideMark/>
          </w:tcPr>
          <w:p w14:paraId="647D7A38" w14:textId="77777777" w:rsidR="00B65425" w:rsidRPr="00AA7DB0" w:rsidRDefault="00B6542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proofErr w:type="spellStart"/>
            <w:r w:rsidRPr="00AA7DB0">
              <w:rPr>
                <w:rFonts w:ascii="Poppins" w:hAnsi="Poppins" w:cs="Poppins"/>
                <w:sz w:val="20"/>
                <w:szCs w:val="20"/>
                <w:lang w:val="en-BE"/>
              </w:rPr>
              <w:t>FGDs</w:t>
            </w:r>
            <w:proofErr w:type="spellEnd"/>
            <w:r w:rsidRPr="00AA7DB0">
              <w:rPr>
                <w:rFonts w:ascii="Poppins" w:hAnsi="Poppins" w:cs="Poppins"/>
                <w:sz w:val="20"/>
                <w:szCs w:val="20"/>
                <w:lang w:val="en-BE"/>
              </w:rPr>
              <w:t xml:space="preserve"> of 8 to 12 participants per session, aged 15 to 30, across selected rural districts</w:t>
            </w:r>
          </w:p>
        </w:tc>
        <w:tc>
          <w:tcPr>
            <w:tcW w:w="2763" w:type="dxa"/>
            <w:hideMark/>
          </w:tcPr>
          <w:p w14:paraId="3CC69B93" w14:textId="77777777" w:rsidR="00B65425" w:rsidRPr="00AA7DB0" w:rsidRDefault="00B6542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Rural youth, mixed by gender, educational background and employment status</w:t>
            </w:r>
          </w:p>
        </w:tc>
        <w:tc>
          <w:tcPr>
            <w:tcW w:w="1464" w:type="dxa"/>
            <w:hideMark/>
          </w:tcPr>
          <w:p w14:paraId="2A4B1917" w14:textId="77777777" w:rsidR="00B65425" w:rsidRPr="00AA7DB0" w:rsidRDefault="00B6542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Diversity sought across gender; counts not disaggregated in source report</w:t>
            </w:r>
          </w:p>
        </w:tc>
      </w:tr>
      <w:tr w:rsidR="00B65425" w:rsidRPr="00BE4EE4" w14:paraId="79128B40" w14:textId="77777777" w:rsidTr="00C43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dxa"/>
            <w:hideMark/>
          </w:tcPr>
          <w:p w14:paraId="26BF6357" w14:textId="77777777" w:rsidR="00B65425" w:rsidRPr="00AA7DB0" w:rsidRDefault="00B65425" w:rsidP="00D540B4">
            <w:pPr>
              <w:spacing w:before="60" w:after="100" w:line="276" w:lineRule="auto"/>
              <w:rPr>
                <w:rFonts w:ascii="Poppins" w:hAnsi="Poppins" w:cs="Poppins"/>
                <w:sz w:val="20"/>
                <w:szCs w:val="20"/>
                <w:lang w:val="en-BE"/>
              </w:rPr>
            </w:pPr>
            <w:r w:rsidRPr="00AA7DB0">
              <w:rPr>
                <w:rFonts w:ascii="Poppins" w:hAnsi="Poppins" w:cs="Poppins"/>
                <w:sz w:val="20"/>
                <w:szCs w:val="20"/>
                <w:lang w:val="en-BE"/>
              </w:rPr>
              <w:t>Mauritius</w:t>
            </w:r>
          </w:p>
        </w:tc>
        <w:tc>
          <w:tcPr>
            <w:tcW w:w="1908" w:type="dxa"/>
            <w:hideMark/>
          </w:tcPr>
          <w:p w14:paraId="1752CE29" w14:textId="5931D573"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Stakeholder consultation</w:t>
            </w:r>
            <w:r w:rsidR="008E1550" w:rsidRPr="00AA7DB0">
              <w:rPr>
                <w:rFonts w:ascii="Poppins" w:hAnsi="Poppins" w:cs="Poppins"/>
                <w:sz w:val="20"/>
                <w:szCs w:val="20"/>
                <w:lang w:val="en-BE"/>
              </w:rPr>
              <w:t>, survey respondents</w:t>
            </w:r>
            <w:r w:rsidRPr="00AA7DB0">
              <w:rPr>
                <w:rFonts w:ascii="Poppins" w:hAnsi="Poppins" w:cs="Poppins"/>
                <w:sz w:val="20"/>
                <w:szCs w:val="20"/>
                <w:lang w:val="en-BE"/>
              </w:rPr>
              <w:t xml:space="preserve"> and desk research</w:t>
            </w:r>
          </w:p>
        </w:tc>
        <w:tc>
          <w:tcPr>
            <w:tcW w:w="1636" w:type="dxa"/>
            <w:hideMark/>
          </w:tcPr>
          <w:p w14:paraId="5EBBAE4B"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 xml:space="preserve">Focus groups, 25 young people aged 16 to 29, urban and rural districts </w:t>
            </w:r>
            <w:r w:rsidRPr="00AA7DB0">
              <w:rPr>
                <w:rFonts w:ascii="Poppins" w:hAnsi="Poppins" w:cs="Poppins"/>
                <w:sz w:val="20"/>
                <w:szCs w:val="20"/>
                <w:lang w:val="en-BE"/>
              </w:rPr>
              <w:lastRenderedPageBreak/>
              <w:t>including Rodrigues</w:t>
            </w:r>
          </w:p>
        </w:tc>
        <w:tc>
          <w:tcPr>
            <w:tcW w:w="2763" w:type="dxa"/>
            <w:hideMark/>
          </w:tcPr>
          <w:p w14:paraId="611A6450"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lastRenderedPageBreak/>
              <w:t>Rural and urban youth across districts including Rodrigues</w:t>
            </w:r>
          </w:p>
        </w:tc>
        <w:tc>
          <w:tcPr>
            <w:tcW w:w="1464" w:type="dxa"/>
            <w:hideMark/>
          </w:tcPr>
          <w:p w14:paraId="4C872E93"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Not disaggregated in source report</w:t>
            </w:r>
          </w:p>
        </w:tc>
      </w:tr>
      <w:tr w:rsidR="00B65425" w:rsidRPr="00BE4EE4" w14:paraId="3505C354" w14:textId="77777777" w:rsidTr="00C430E0">
        <w:tc>
          <w:tcPr>
            <w:cnfStyle w:val="001000000000" w:firstRow="0" w:lastRow="0" w:firstColumn="1" w:lastColumn="0" w:oddVBand="0" w:evenVBand="0" w:oddHBand="0" w:evenHBand="0" w:firstRowFirstColumn="0" w:firstRowLastColumn="0" w:lastRowFirstColumn="0" w:lastRowLastColumn="0"/>
            <w:tcW w:w="1325" w:type="dxa"/>
            <w:hideMark/>
          </w:tcPr>
          <w:p w14:paraId="57750BE3" w14:textId="77777777" w:rsidR="00B65425" w:rsidRPr="00AA7DB0" w:rsidRDefault="00B65425" w:rsidP="00D540B4">
            <w:pPr>
              <w:spacing w:before="60" w:after="100" w:line="276" w:lineRule="auto"/>
              <w:rPr>
                <w:rFonts w:ascii="Poppins" w:hAnsi="Poppins" w:cs="Poppins"/>
                <w:sz w:val="20"/>
                <w:szCs w:val="20"/>
                <w:lang w:val="en-BE"/>
              </w:rPr>
            </w:pPr>
            <w:r w:rsidRPr="00AA7DB0">
              <w:rPr>
                <w:rFonts w:ascii="Poppins" w:hAnsi="Poppins" w:cs="Poppins"/>
                <w:sz w:val="20"/>
                <w:szCs w:val="20"/>
                <w:lang w:val="en-BE"/>
              </w:rPr>
              <w:t>Nigeria</w:t>
            </w:r>
          </w:p>
        </w:tc>
        <w:tc>
          <w:tcPr>
            <w:tcW w:w="1908" w:type="dxa"/>
            <w:hideMark/>
          </w:tcPr>
          <w:p w14:paraId="4055E433" w14:textId="7D1E689D" w:rsidR="00B65425" w:rsidRPr="00AA7DB0" w:rsidRDefault="008E1550"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Stakeholder consultation, survey respondents and desk research</w:t>
            </w:r>
          </w:p>
        </w:tc>
        <w:tc>
          <w:tcPr>
            <w:tcW w:w="1636" w:type="dxa"/>
            <w:hideMark/>
          </w:tcPr>
          <w:p w14:paraId="3A203F1C" w14:textId="77777777" w:rsidR="00B65425" w:rsidRPr="00AA7DB0" w:rsidRDefault="00B6542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Structured comparative interviews, 3 respondents</w:t>
            </w:r>
          </w:p>
        </w:tc>
        <w:tc>
          <w:tcPr>
            <w:tcW w:w="2763" w:type="dxa"/>
            <w:hideMark/>
          </w:tcPr>
          <w:p w14:paraId="0221F310" w14:textId="77777777" w:rsidR="00B65425" w:rsidRPr="00AA7DB0" w:rsidRDefault="00B6542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Policymaker, community leader, youth organisation representative</w:t>
            </w:r>
          </w:p>
        </w:tc>
        <w:tc>
          <w:tcPr>
            <w:tcW w:w="1464" w:type="dxa"/>
            <w:hideMark/>
          </w:tcPr>
          <w:p w14:paraId="6B7650C7" w14:textId="77777777" w:rsidR="00B65425" w:rsidRPr="00AA7DB0" w:rsidRDefault="00B6542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Not disaggregated in source report</w:t>
            </w:r>
          </w:p>
        </w:tc>
      </w:tr>
      <w:tr w:rsidR="00B65425" w:rsidRPr="00BE4EE4" w14:paraId="5258127D" w14:textId="77777777" w:rsidTr="00C43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dxa"/>
            <w:hideMark/>
          </w:tcPr>
          <w:p w14:paraId="3923409D" w14:textId="77777777" w:rsidR="00B65425" w:rsidRPr="00AA7DB0" w:rsidRDefault="00B65425" w:rsidP="00D540B4">
            <w:pPr>
              <w:spacing w:before="60" w:after="100" w:line="276" w:lineRule="auto"/>
              <w:rPr>
                <w:rFonts w:ascii="Poppins" w:hAnsi="Poppins" w:cs="Poppins"/>
                <w:sz w:val="20"/>
                <w:szCs w:val="20"/>
                <w:lang w:val="en-BE"/>
              </w:rPr>
            </w:pPr>
            <w:r w:rsidRPr="00AA7DB0">
              <w:rPr>
                <w:rFonts w:ascii="Poppins" w:hAnsi="Poppins" w:cs="Poppins"/>
                <w:sz w:val="20"/>
                <w:szCs w:val="20"/>
                <w:lang w:val="en-BE"/>
              </w:rPr>
              <w:t>Greece</w:t>
            </w:r>
          </w:p>
        </w:tc>
        <w:tc>
          <w:tcPr>
            <w:tcW w:w="1908" w:type="dxa"/>
            <w:hideMark/>
          </w:tcPr>
          <w:p w14:paraId="18728B5F"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Desk research and institutional review</w:t>
            </w:r>
          </w:p>
        </w:tc>
        <w:tc>
          <w:tcPr>
            <w:tcW w:w="1636" w:type="dxa"/>
            <w:hideMark/>
          </w:tcPr>
          <w:p w14:paraId="7D598829"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Desk research based</w:t>
            </w:r>
          </w:p>
        </w:tc>
        <w:tc>
          <w:tcPr>
            <w:tcW w:w="2763" w:type="dxa"/>
            <w:hideMark/>
          </w:tcPr>
          <w:p w14:paraId="6EC98620"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Institutional and policy sources (reference country role)</w:t>
            </w:r>
          </w:p>
        </w:tc>
        <w:tc>
          <w:tcPr>
            <w:tcW w:w="1464" w:type="dxa"/>
            <w:hideMark/>
          </w:tcPr>
          <w:p w14:paraId="442B75EE"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Not applicable (desk based)</w:t>
            </w:r>
          </w:p>
        </w:tc>
      </w:tr>
      <w:tr w:rsidR="00B65425" w:rsidRPr="00BE4EE4" w14:paraId="760217D1" w14:textId="77777777" w:rsidTr="00C430E0">
        <w:tc>
          <w:tcPr>
            <w:cnfStyle w:val="001000000000" w:firstRow="0" w:lastRow="0" w:firstColumn="1" w:lastColumn="0" w:oddVBand="0" w:evenVBand="0" w:oddHBand="0" w:evenHBand="0" w:firstRowFirstColumn="0" w:firstRowLastColumn="0" w:lastRowFirstColumn="0" w:lastRowLastColumn="0"/>
            <w:tcW w:w="1325" w:type="dxa"/>
            <w:hideMark/>
          </w:tcPr>
          <w:p w14:paraId="17CA15E3" w14:textId="77777777" w:rsidR="00B65425" w:rsidRPr="00AA7DB0" w:rsidRDefault="00B65425" w:rsidP="00D540B4">
            <w:pPr>
              <w:spacing w:before="60" w:after="100" w:line="276" w:lineRule="auto"/>
              <w:rPr>
                <w:rFonts w:ascii="Poppins" w:hAnsi="Poppins" w:cs="Poppins"/>
                <w:sz w:val="20"/>
                <w:szCs w:val="20"/>
                <w:lang w:val="en-BE"/>
              </w:rPr>
            </w:pPr>
            <w:r w:rsidRPr="00AA7DB0">
              <w:rPr>
                <w:rFonts w:ascii="Poppins" w:hAnsi="Poppins" w:cs="Poppins"/>
                <w:sz w:val="20"/>
                <w:szCs w:val="20"/>
                <w:lang w:val="en-BE"/>
              </w:rPr>
              <w:t>Italy</w:t>
            </w:r>
          </w:p>
        </w:tc>
        <w:tc>
          <w:tcPr>
            <w:tcW w:w="1908" w:type="dxa"/>
            <w:hideMark/>
          </w:tcPr>
          <w:p w14:paraId="3EB65C17" w14:textId="77777777" w:rsidR="00B65425" w:rsidRPr="00AA7DB0" w:rsidRDefault="00B6542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Desk research and stakeholder review</w:t>
            </w:r>
          </w:p>
        </w:tc>
        <w:tc>
          <w:tcPr>
            <w:tcW w:w="1636" w:type="dxa"/>
            <w:hideMark/>
          </w:tcPr>
          <w:p w14:paraId="74F7A1CA" w14:textId="05C01EE4" w:rsidR="00B65425" w:rsidRPr="00AA7DB0" w:rsidRDefault="004952F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Desk research based</w:t>
            </w:r>
          </w:p>
        </w:tc>
        <w:tc>
          <w:tcPr>
            <w:tcW w:w="2763" w:type="dxa"/>
            <w:hideMark/>
          </w:tcPr>
          <w:p w14:paraId="5B06AE81" w14:textId="45113E65" w:rsidR="00B65425" w:rsidRPr="00AA7DB0" w:rsidRDefault="0041419C"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41419C">
              <w:rPr>
                <w:rFonts w:ascii="Poppins" w:hAnsi="Poppins" w:cs="Poppins"/>
                <w:sz w:val="20"/>
                <w:szCs w:val="20"/>
              </w:rPr>
              <w:t>Institutional and policy sources (reference country role)</w:t>
            </w:r>
          </w:p>
        </w:tc>
        <w:tc>
          <w:tcPr>
            <w:tcW w:w="1464" w:type="dxa"/>
            <w:hideMark/>
          </w:tcPr>
          <w:p w14:paraId="2A6168E6" w14:textId="1FBA5093" w:rsidR="00B65425" w:rsidRPr="00AA7DB0" w:rsidRDefault="004952F5" w:rsidP="00D540B4">
            <w:pPr>
              <w:spacing w:before="60" w:after="100"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Not applicable (desk based)</w:t>
            </w:r>
          </w:p>
        </w:tc>
      </w:tr>
      <w:tr w:rsidR="00B65425" w:rsidRPr="00BE4EE4" w14:paraId="020FA73D" w14:textId="77777777" w:rsidTr="00C430E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325" w:type="dxa"/>
            <w:hideMark/>
          </w:tcPr>
          <w:p w14:paraId="4958AC14" w14:textId="77777777" w:rsidR="00B65425" w:rsidRPr="00AA7DB0" w:rsidRDefault="00B65425" w:rsidP="00D540B4">
            <w:pPr>
              <w:spacing w:before="60" w:after="100" w:line="276" w:lineRule="auto"/>
              <w:rPr>
                <w:rFonts w:ascii="Poppins" w:hAnsi="Poppins" w:cs="Poppins"/>
                <w:sz w:val="20"/>
                <w:szCs w:val="20"/>
                <w:lang w:val="en-BE"/>
              </w:rPr>
            </w:pPr>
            <w:r w:rsidRPr="00AA7DB0">
              <w:rPr>
                <w:rFonts w:ascii="Poppins" w:hAnsi="Poppins" w:cs="Poppins"/>
                <w:sz w:val="20"/>
                <w:szCs w:val="20"/>
                <w:lang w:val="en-BE"/>
              </w:rPr>
              <w:t>Romania</w:t>
            </w:r>
          </w:p>
        </w:tc>
        <w:tc>
          <w:tcPr>
            <w:tcW w:w="1908" w:type="dxa"/>
            <w:hideMark/>
          </w:tcPr>
          <w:p w14:paraId="69CE5E8B"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Desk research, case study of LAG Napoca Porolissum territory</w:t>
            </w:r>
          </w:p>
        </w:tc>
        <w:tc>
          <w:tcPr>
            <w:tcW w:w="1636" w:type="dxa"/>
            <w:hideMark/>
          </w:tcPr>
          <w:p w14:paraId="2D0DEE30"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Desk research based, multi level governance mapping</w:t>
            </w:r>
          </w:p>
        </w:tc>
        <w:tc>
          <w:tcPr>
            <w:tcW w:w="2763" w:type="dxa"/>
            <w:hideMark/>
          </w:tcPr>
          <w:p w14:paraId="0A776C4D"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Institutional, county and LAG governance sources</w:t>
            </w:r>
          </w:p>
        </w:tc>
        <w:tc>
          <w:tcPr>
            <w:tcW w:w="1464" w:type="dxa"/>
            <w:hideMark/>
          </w:tcPr>
          <w:p w14:paraId="228276AE" w14:textId="77777777" w:rsidR="00B65425" w:rsidRPr="00AA7DB0" w:rsidRDefault="00B65425" w:rsidP="00D540B4">
            <w:pPr>
              <w:spacing w:before="60" w:after="100"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AA7DB0">
              <w:rPr>
                <w:rFonts w:ascii="Poppins" w:hAnsi="Poppins" w:cs="Poppins"/>
                <w:sz w:val="20"/>
                <w:szCs w:val="20"/>
                <w:lang w:val="en-BE"/>
              </w:rPr>
              <w:t>Not applicable (desk based)</w:t>
            </w:r>
          </w:p>
        </w:tc>
      </w:tr>
    </w:tbl>
    <w:p w14:paraId="7515B577" w14:textId="233FA93C" w:rsidR="00F7034B" w:rsidRPr="00BE4EE4" w:rsidRDefault="0052774F" w:rsidP="0052774F">
      <w:pPr>
        <w:jc w:val="both"/>
        <w:rPr>
          <w:rFonts w:ascii="Poppins" w:hAnsi="Poppins" w:cs="Poppins"/>
        </w:rPr>
      </w:pPr>
      <w:r w:rsidRPr="00BE4EE4">
        <w:rPr>
          <w:rFonts w:ascii="Poppins" w:hAnsi="Poppins" w:cs="Poppins"/>
        </w:rPr>
        <w:br w:type="page"/>
      </w:r>
    </w:p>
    <w:p w14:paraId="5CDF942F" w14:textId="77777777" w:rsidR="00F7034B" w:rsidRPr="00BE4EE4" w:rsidRDefault="00000000">
      <w:pPr>
        <w:pStyle w:val="Heading1"/>
        <w:keepNext/>
        <w:spacing w:before="360" w:after="120"/>
        <w:rPr>
          <w:rFonts w:ascii="Poppins" w:hAnsi="Poppins" w:cs="Poppins"/>
          <w:color w:val="2F6B3A"/>
        </w:rPr>
      </w:pPr>
      <w:bookmarkStart w:id="9" w:name="_Toc233200011"/>
      <w:r w:rsidRPr="00BE4EE4">
        <w:rPr>
          <w:rFonts w:ascii="Poppins" w:eastAsia="Calibri" w:hAnsi="Poppins" w:cs="Poppins"/>
          <w:color w:val="2F6B3A"/>
        </w:rPr>
        <w:lastRenderedPageBreak/>
        <w:t>2. Task 2.1 Country Findings: Resources, Frameworks, and Gaps</w:t>
      </w:r>
      <w:bookmarkEnd w:id="9"/>
    </w:p>
    <w:p w14:paraId="10DE0B92" w14:textId="22A57DC3" w:rsidR="009D1D60" w:rsidRPr="00BE4EE4" w:rsidRDefault="009D1D60">
      <w:pPr>
        <w:spacing w:before="60" w:after="100"/>
        <w:jc w:val="both"/>
        <w:rPr>
          <w:rFonts w:ascii="Poppins" w:hAnsi="Poppins" w:cs="Poppins"/>
        </w:rPr>
      </w:pPr>
      <w:r w:rsidRPr="00BE4EE4">
        <w:rPr>
          <w:rFonts w:ascii="Poppins" w:eastAsia="Calibri" w:hAnsi="Poppins" w:cs="Poppins"/>
          <w:color w:val="1A1A1A"/>
        </w:rPr>
        <w:t>This section presents the key findings from each Task 2.1 country report, structured around four analytical dimensions applied consistently across all reports: available resources, legal and policy frameworks, best practices, and identified gaps. The analysis moves beyond description to interrogate the structural conditions that shape rural youth participation in each context, drawing out the patterns and tensions that the comparative analysis in Section 4 develops further. Countries are presented by regional grouping.</w:t>
      </w:r>
    </w:p>
    <w:p w14:paraId="4F05142D" w14:textId="77777777" w:rsidR="00F7034B" w:rsidRPr="00BE4EE4" w:rsidRDefault="00000000">
      <w:pPr>
        <w:pStyle w:val="Heading2"/>
        <w:keepNext/>
        <w:spacing w:before="280" w:after="80"/>
        <w:rPr>
          <w:rFonts w:ascii="Poppins" w:hAnsi="Poppins" w:cs="Poppins"/>
          <w:color w:val="B7C3A1"/>
        </w:rPr>
      </w:pPr>
      <w:bookmarkStart w:id="10" w:name="_Toc233200012"/>
      <w:r w:rsidRPr="00BE4EE4">
        <w:rPr>
          <w:rFonts w:ascii="Poppins" w:eastAsia="Calibri" w:hAnsi="Poppins" w:cs="Poppins"/>
          <w:color w:val="B7C3A1"/>
        </w:rPr>
        <w:t>2.1 Sub-Saharan African Partner Countries</w:t>
      </w:r>
      <w:bookmarkEnd w:id="10"/>
    </w:p>
    <w:p w14:paraId="10E3E794" w14:textId="77777777" w:rsidR="00F7034B" w:rsidRPr="00BE4EE4" w:rsidRDefault="00000000">
      <w:pPr>
        <w:pStyle w:val="Heading3"/>
        <w:keepNext/>
        <w:spacing w:before="200" w:after="60"/>
        <w:rPr>
          <w:rFonts w:ascii="Poppins" w:hAnsi="Poppins" w:cs="Poppins"/>
          <w:color w:val="2F6B3A"/>
        </w:rPr>
      </w:pPr>
      <w:bookmarkStart w:id="11" w:name="_Toc233200013"/>
      <w:r w:rsidRPr="00BE4EE4">
        <w:rPr>
          <w:rFonts w:ascii="Poppins" w:eastAsia="Calibri" w:hAnsi="Poppins" w:cs="Poppins"/>
          <w:color w:val="2F6B3A"/>
        </w:rPr>
        <w:t>2.1.1 Botswana</w:t>
      </w:r>
      <w:bookmarkEnd w:id="11"/>
    </w:p>
    <w:p w14:paraId="1237DB74" w14:textId="77777777" w:rsidR="00F7034B" w:rsidRPr="00BE4EE4" w:rsidRDefault="00000000" w:rsidP="00263C8C">
      <w:pPr>
        <w:rPr>
          <w:rFonts w:ascii="Poppins" w:hAnsi="Poppins" w:cs="Poppins"/>
        </w:rPr>
      </w:pPr>
      <w:r w:rsidRPr="00BE4EE4">
        <w:rPr>
          <w:rFonts w:ascii="Poppins" w:eastAsia="Calibri" w:hAnsi="Poppins" w:cs="Poppins"/>
          <w:b/>
          <w:bCs/>
          <w:color w:val="1A1A1A"/>
          <w:sz w:val="24"/>
          <w:szCs w:val="24"/>
        </w:rPr>
        <w:t>Resources and Institutional Ecosystem</w:t>
      </w:r>
    </w:p>
    <w:p w14:paraId="6A9432B7" w14:textId="77777777" w:rsidR="009D1D60" w:rsidRPr="00BE4EE4" w:rsidRDefault="009D1D60" w:rsidP="00263C8C">
      <w:pPr>
        <w:jc w:val="both"/>
        <w:rPr>
          <w:rFonts w:ascii="Poppins" w:eastAsia="Calibri" w:hAnsi="Poppins" w:cs="Poppins"/>
          <w:color w:val="1A1A1A"/>
          <w:lang w:val="en-BE"/>
        </w:rPr>
      </w:pPr>
      <w:r w:rsidRPr="00BE4EE4">
        <w:rPr>
          <w:rFonts w:ascii="Poppins" w:eastAsia="Calibri" w:hAnsi="Poppins" w:cs="Poppins"/>
          <w:color w:val="1A1A1A"/>
          <w:lang w:val="en-BE"/>
        </w:rPr>
        <w:t xml:space="preserve">Botswana's rural youth participation ecosystem is layered across multiple institutional tiers that together create a formally rich but practically constrained landscape. At the national level, the principal formal resource is the Revised National Youth Policy of 2010, which establishes a framework commitment to youth civic engagement and outlines the responsibilities of the Ministry of Youth, Sport and Culture in supporting youth-oriented initiatives. This is supplemented at the continental level by the African Youth Charter, to which Botswana is a signatory and which provides normative grounding for youth participation rights. The Youth Development Fund provides financial support for youth enterprise initiatives and has been accessed by rural youth groups in some districts, though its reach is constrained by information and administrative barriers in the most remote areas. </w:t>
      </w:r>
      <w:r w:rsidRPr="00BE4EE4">
        <w:rPr>
          <w:rFonts w:ascii="Poppins" w:eastAsia="Calibri" w:hAnsi="Poppins" w:cs="Poppins"/>
          <w:color w:val="1A1A1A"/>
          <w:lang w:val="en-BE"/>
        </w:rPr>
        <w:lastRenderedPageBreak/>
        <w:t>District Youth Officer structures, embedded within local government administration, serve as the primary institutional interface between the state and organised youth groups at district level, providing coordination, referral, and limited programme delivery functions.</w:t>
      </w:r>
    </w:p>
    <w:p w14:paraId="2F9D251E" w14:textId="77777777" w:rsidR="009D1D60" w:rsidRPr="00BE4EE4" w:rsidRDefault="009D1D60" w:rsidP="009D1D60">
      <w:pPr>
        <w:jc w:val="both"/>
        <w:rPr>
          <w:rFonts w:ascii="Poppins" w:eastAsia="Calibri" w:hAnsi="Poppins" w:cs="Poppins"/>
          <w:color w:val="1A1A1A"/>
          <w:lang w:val="en-BE"/>
        </w:rPr>
      </w:pPr>
    </w:p>
    <w:p w14:paraId="526A999B" w14:textId="77777777" w:rsidR="009D1D60" w:rsidRPr="00BE4EE4" w:rsidRDefault="009D1D60" w:rsidP="009D1D60">
      <w:pPr>
        <w:jc w:val="both"/>
        <w:rPr>
          <w:rFonts w:ascii="Poppins" w:eastAsia="Calibri" w:hAnsi="Poppins" w:cs="Poppins"/>
          <w:color w:val="1A1A1A"/>
          <w:lang w:val="en-BE"/>
        </w:rPr>
      </w:pPr>
      <w:r w:rsidRPr="00BE4EE4">
        <w:rPr>
          <w:rFonts w:ascii="Poppins" w:eastAsia="Calibri" w:hAnsi="Poppins" w:cs="Poppins"/>
          <w:color w:val="1A1A1A"/>
          <w:lang w:val="en-BE"/>
        </w:rPr>
        <w:t>The civil society dimension of Botswana's participation ecosystem is active and diverse relative to other SSA partner countries. National organisations including Youth Unlimited have developed participatory approaches that include civic education programming and structured leadership development activities. The national Youth Parliament provides a formal deliberative model, offering a tested simulation framework for structured youth deliberation at national level, though its accessibility for rural youth is limited by the capital-centric nature of its operations. Digital communication channels including social media platforms and mobile messaging applications have emerged as significant tools for information sharing and informal mobilisation among youth in areas with adequate network connectivity, though the digital divide remains pronounced in rural Botswana.</w:t>
      </w:r>
    </w:p>
    <w:p w14:paraId="0468E3ED" w14:textId="77777777" w:rsidR="009D1D60" w:rsidRPr="00BE4EE4" w:rsidRDefault="009D1D60" w:rsidP="009D1D60">
      <w:pPr>
        <w:jc w:val="both"/>
        <w:rPr>
          <w:rFonts w:ascii="Poppins" w:eastAsia="Calibri" w:hAnsi="Poppins" w:cs="Poppins"/>
          <w:color w:val="1A1A1A"/>
          <w:lang w:val="en-BE"/>
        </w:rPr>
      </w:pPr>
    </w:p>
    <w:p w14:paraId="5E93A433" w14:textId="77777777" w:rsidR="009D1D60" w:rsidRPr="00BE4EE4" w:rsidRDefault="009D1D60" w:rsidP="009D1D60">
      <w:pPr>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The Kgotla System: Cultural Legitimacy and Practical Limits</w:t>
      </w:r>
    </w:p>
    <w:p w14:paraId="610F3103" w14:textId="77777777" w:rsidR="009D1D60" w:rsidRPr="00BE4EE4" w:rsidRDefault="009D1D60" w:rsidP="009D1D60">
      <w:pPr>
        <w:jc w:val="both"/>
        <w:rPr>
          <w:rFonts w:ascii="Poppins" w:eastAsia="Calibri" w:hAnsi="Poppins" w:cs="Poppins"/>
          <w:color w:val="1A1A1A"/>
          <w:lang w:val="en-BE"/>
        </w:rPr>
      </w:pPr>
      <w:r w:rsidRPr="00BE4EE4">
        <w:rPr>
          <w:rFonts w:ascii="Poppins" w:eastAsia="Calibri" w:hAnsi="Poppins" w:cs="Poppins"/>
          <w:color w:val="1A1A1A"/>
          <w:lang w:val="en-BE"/>
        </w:rPr>
        <w:t>The most analytically significant resource in Botswana's rural youth participation ecosystem is neither a formal state structure nor a civil society organisation but the Kgotla, the traditional community assembly convened by the Kgosi, the hereditary community leader. The Kgotla is the central institution of Botswana's democratic culture: it is the space where community matters are debated, disputes resolved, and collective decisions made. Its legitimacy derives from deep historical and cultural roots, from the authority of the Kgosi as convener, and from the inclusive principle of open participation embedded in its tradition. Village Development Committees and elected councillor interfaces at ward and district level complete the formal participation architecture at sub-national level.</w:t>
      </w:r>
    </w:p>
    <w:p w14:paraId="41F69508" w14:textId="77777777" w:rsidR="009D1D60" w:rsidRPr="00BE4EE4" w:rsidRDefault="009D1D60" w:rsidP="009D1D60">
      <w:pPr>
        <w:jc w:val="both"/>
        <w:rPr>
          <w:rFonts w:ascii="Poppins" w:eastAsia="Calibri" w:hAnsi="Poppins" w:cs="Poppins"/>
          <w:color w:val="1A1A1A"/>
          <w:lang w:val="en-BE"/>
        </w:rPr>
      </w:pPr>
    </w:p>
    <w:p w14:paraId="1ED81CEE" w14:textId="77777777" w:rsidR="009D1D60" w:rsidRPr="00BE4EE4" w:rsidRDefault="009D1D60" w:rsidP="009D1D60">
      <w:pPr>
        <w:jc w:val="both"/>
        <w:rPr>
          <w:rFonts w:ascii="Poppins" w:eastAsia="Calibri" w:hAnsi="Poppins" w:cs="Poppins"/>
          <w:color w:val="1A1A1A"/>
          <w:lang w:val="en-BE"/>
        </w:rPr>
      </w:pPr>
      <w:r w:rsidRPr="00BE4EE4">
        <w:rPr>
          <w:rFonts w:ascii="Poppins" w:eastAsia="Calibri" w:hAnsi="Poppins" w:cs="Poppins"/>
          <w:color w:val="1A1A1A"/>
          <w:lang w:val="en-BE"/>
        </w:rPr>
        <w:t>For rural youth, the Kgotla is the most accessible civic participation venue: it is local, culturally familiar, and carries genuine authority. Focus group evidence gathered in Mogobane and Tlokweng, however, reveals a significant and systemic gap between the formal openness of the Kgotla and its practical effectiveness as a space of meaningful youth voice. Cultural norms create a strong expectation that young people defer to elders, and that speaking with authority in community assemblies is the prerogative of older men. Young women face additional barriers rooted in both age and gender norms. Meeting scheduling typically during weekday working hours conflicts with the agricultural and livelihood activities that occupy rural youth. The combination of cultural distance from formal authority and practical timing conflicts produces a consistent pattern: formal presence, limited voice, absent accountability.</w:t>
      </w:r>
    </w:p>
    <w:p w14:paraId="1E2ADD20" w14:textId="77777777" w:rsidR="009D1D60" w:rsidRPr="00BE4EE4" w:rsidRDefault="009D1D60" w:rsidP="009D1D60">
      <w:pPr>
        <w:jc w:val="both"/>
        <w:rPr>
          <w:rFonts w:ascii="Poppins" w:eastAsia="Calibri" w:hAnsi="Poppins" w:cs="Poppins"/>
          <w:color w:val="1A1A1A"/>
          <w:lang w:val="en-BE"/>
        </w:rPr>
      </w:pPr>
    </w:p>
    <w:p w14:paraId="63DA8BF5" w14:textId="77777777" w:rsidR="009D1D60" w:rsidRPr="00BE4EE4" w:rsidRDefault="009D1D60" w:rsidP="009D1D60">
      <w:pPr>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Legal and Policy Framework and Key Gaps</w:t>
      </w:r>
    </w:p>
    <w:p w14:paraId="52382A5E" w14:textId="77777777" w:rsidR="009D1D60" w:rsidRPr="00BE4EE4" w:rsidRDefault="009D1D60" w:rsidP="009D1D60">
      <w:pPr>
        <w:jc w:val="both"/>
        <w:rPr>
          <w:rFonts w:ascii="Poppins" w:eastAsia="Calibri" w:hAnsi="Poppins" w:cs="Poppins"/>
          <w:color w:val="1A1A1A"/>
          <w:lang w:val="en-BE"/>
        </w:rPr>
      </w:pPr>
      <w:r w:rsidRPr="00BE4EE4">
        <w:rPr>
          <w:rFonts w:ascii="Poppins" w:eastAsia="Calibri" w:hAnsi="Poppins" w:cs="Poppins"/>
          <w:color w:val="1A1A1A"/>
          <w:lang w:val="en-BE"/>
        </w:rPr>
        <w:t xml:space="preserve">Botswana's legal and policy framework for youth participation is permissive but not prescriptive. The Revised National Youth Policy opens spaces for youth engagement without establishing the institutional obligations, financing mechanisms, or accountability structures that would ensure those spaces are meaningfully occupied by rural youth. The National Youth Council Act provides a statutory basis for the National Youth Council but does not mandate rural outreach or disaggregated rural youth programming. Across both focus groups, the most consistently identified gap is the absence of a predictable institutional feedback mechanism: rural youth contribute their views and receive no systematic acknowledgement of what happened to those views. This absence of accountability, the failure to close the loop between youth input and institutional response, is the primary driver of the disillusionment and disengagement documented in the focus group evidence. A secondary gap is the absence of </w:t>
      </w:r>
      <w:r w:rsidRPr="00BE4EE4">
        <w:rPr>
          <w:rFonts w:ascii="Poppins" w:eastAsia="Calibri" w:hAnsi="Poppins" w:cs="Poppins"/>
          <w:color w:val="1A1A1A"/>
          <w:lang w:val="en-BE"/>
        </w:rPr>
        <w:lastRenderedPageBreak/>
        <w:t>dedicated rural youth governance structures at district or ward level with public financing, meaning that participation depends entirely on civil society initiative and individual motivation rather than on institutional infrastructure.</w:t>
      </w:r>
    </w:p>
    <w:p w14:paraId="014836BB" w14:textId="77777777" w:rsidR="009D1D60" w:rsidRPr="00BE4EE4" w:rsidRDefault="009D1D60" w:rsidP="009D1D60">
      <w:pPr>
        <w:jc w:val="both"/>
        <w:rPr>
          <w:rFonts w:ascii="Poppins" w:eastAsia="Calibri" w:hAnsi="Poppins" w:cs="Poppins"/>
          <w:color w:val="1A1A1A"/>
          <w:lang w:val="en-BE"/>
        </w:rPr>
      </w:pPr>
    </w:p>
    <w:p w14:paraId="7A1AEA42" w14:textId="77777777" w:rsidR="009D1D60" w:rsidRPr="00BE4EE4" w:rsidRDefault="009D1D60" w:rsidP="009D1D60">
      <w:pPr>
        <w:jc w:val="both"/>
        <w:rPr>
          <w:rFonts w:ascii="Poppins" w:eastAsia="Calibri" w:hAnsi="Poppins" w:cs="Poppins"/>
          <w:b/>
          <w:bCs/>
          <w:i/>
          <w:iCs/>
          <w:color w:val="1A1A1A"/>
          <w:sz w:val="24"/>
          <w:szCs w:val="24"/>
          <w:lang w:val="en-BE"/>
        </w:rPr>
      </w:pPr>
      <w:r w:rsidRPr="00BE4EE4">
        <w:rPr>
          <w:rFonts w:ascii="Poppins" w:eastAsia="Calibri" w:hAnsi="Poppins" w:cs="Poppins"/>
          <w:b/>
          <w:bCs/>
          <w:i/>
          <w:iCs/>
          <w:color w:val="1A1A1A"/>
          <w:sz w:val="24"/>
          <w:szCs w:val="24"/>
          <w:lang w:val="en-BE"/>
        </w:rPr>
        <w:t>Key Diagnostic</w:t>
      </w:r>
    </w:p>
    <w:p w14:paraId="4FBE355C" w14:textId="14FAF1CC" w:rsidR="009D1D60" w:rsidRPr="00BE4EE4" w:rsidRDefault="009D1D60" w:rsidP="009D1D60">
      <w:pPr>
        <w:jc w:val="both"/>
        <w:rPr>
          <w:rFonts w:ascii="Poppins" w:eastAsia="Calibri" w:hAnsi="Poppins" w:cs="Poppins"/>
          <w:color w:val="1A1A1A"/>
          <w:lang w:val="en-BE"/>
        </w:rPr>
      </w:pPr>
      <w:r w:rsidRPr="00BE4EE4">
        <w:rPr>
          <w:rFonts w:ascii="Poppins" w:eastAsia="Calibri" w:hAnsi="Poppins" w:cs="Poppins"/>
          <w:color w:val="1A1A1A"/>
          <w:lang w:val="en-BE"/>
        </w:rPr>
        <w:t>The binding constraint is not the absence of participation venues but the absence of institutional response. Closing the feedback loop between youth input and visible outcomes is the single most important structural change required in the Botswana context.</w:t>
      </w:r>
    </w:p>
    <w:p w14:paraId="66F2F2EB" w14:textId="77777777" w:rsidR="001762C5" w:rsidRPr="00BE4EE4" w:rsidRDefault="001762C5" w:rsidP="001762C5">
      <w:pPr>
        <w:rPr>
          <w:rFonts w:ascii="Poppins" w:hAnsi="Poppins" w:cs="Poppins"/>
          <w:lang w:val="en-BE"/>
        </w:rPr>
      </w:pPr>
    </w:p>
    <w:p w14:paraId="66E2B9A7" w14:textId="296F2F85" w:rsidR="00F7034B" w:rsidRPr="00BE4EE4" w:rsidRDefault="00000000">
      <w:pPr>
        <w:pStyle w:val="Heading3"/>
        <w:keepNext/>
        <w:spacing w:before="200" w:after="60"/>
        <w:rPr>
          <w:rFonts w:ascii="Poppins" w:hAnsi="Poppins" w:cs="Poppins"/>
          <w:color w:val="2F6B3A"/>
        </w:rPr>
      </w:pPr>
      <w:bookmarkStart w:id="12" w:name="_Toc233200014"/>
      <w:r w:rsidRPr="00BE4EE4">
        <w:rPr>
          <w:rFonts w:ascii="Poppins" w:eastAsia="Calibri" w:hAnsi="Poppins" w:cs="Poppins"/>
          <w:color w:val="2F6B3A"/>
        </w:rPr>
        <w:t>2.1.2 Madagascar</w:t>
      </w:r>
      <w:bookmarkEnd w:id="12"/>
    </w:p>
    <w:p w14:paraId="7864D8FE" w14:textId="77777777" w:rsidR="00D06B6A" w:rsidRPr="00BE4EE4" w:rsidRDefault="00D06B6A" w:rsidP="00D06B6A">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Context and Scale of Challenge</w:t>
      </w:r>
    </w:p>
    <w:p w14:paraId="4FE58EB2" w14:textId="77777777" w:rsidR="00D06B6A" w:rsidRPr="00BE4EE4" w:rsidRDefault="00D06B6A" w:rsidP="00D06B6A">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Madagascar presents both the most acute rural youth participation challenges in the EMPOWER+ consortium and the most extraordinary expression of appetite for change. The Task 2.1 report draws on a stakeholder consultation with thirty-four respondents across seven regions, providing a nationally distributed evidence base that is among the most geographically representative in the consortium. Madagascar's development context is characterised by acute economic vulnerability combined with a very young and predominantly rural population. Rural infrastructure including roads, electricity, and digital connectivity is severely limited outside the capital Antananarivo and a small number of secondary cities. These structural realities create an environment in which the barriers to rural youth participation are not merely institutional but fundamentally economic and geographic.</w:t>
      </w:r>
    </w:p>
    <w:p w14:paraId="34A01769" w14:textId="77777777" w:rsidR="00D06B6A" w:rsidRPr="00BE4EE4" w:rsidRDefault="00D06B6A" w:rsidP="00D06B6A">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Formal Framework and Lived Reality</w:t>
      </w:r>
    </w:p>
    <w:p w14:paraId="7CAEDB53" w14:textId="77777777" w:rsidR="00D06B6A" w:rsidRPr="00BE4EE4" w:rsidRDefault="00D06B6A" w:rsidP="00D06B6A">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lastRenderedPageBreak/>
        <w:t>The formal participation framework includes the Plan d'Emergence de Madagascar, which establishes broad development commitments including youth engagement; Communal Development Plans that provide a local planning mechanism with a formal consultation requirement; and the Ministry of Youth and Sport's National Youth Plan renewal process. In principle, these frameworks provide the legal basis for meaningful youth consultation at both national and local level. The gap between this formal framework and lived reality is, by any measure, extreme. Not a single respondent in the thirty-four-person stakeholder consultation selected "very active" to describe youth engagement in local governance. Only nine percent reported that youth views are "always taken seriously" by decision-makers. The three most frequently cited barriers are: lack of confidence or experience among youth themselves, reported by twenty-nine percent of respondents; youth not being invited to or informed about participation opportunities in time, reported by twenty-four percent; and meetings being dominated by older adults in ways that effectively exclude youth voice, reported by eighteen percent.</w:t>
      </w:r>
    </w:p>
    <w:p w14:paraId="5B210A98" w14:textId="77777777" w:rsidR="00D06B6A" w:rsidRPr="00BE4EE4" w:rsidRDefault="00D06B6A" w:rsidP="00D06B6A">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Community Traditions, Grassroots Energy, and the RYP Mandate</w:t>
      </w:r>
    </w:p>
    <w:p w14:paraId="1DA04469" w14:textId="77777777" w:rsidR="00D06B6A" w:rsidRPr="00BE4EE4" w:rsidRDefault="00D06B6A" w:rsidP="00D06B6A">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Despite the severity of these structural barriers, Madagascar's Task 2.1 report reveals significant and vibrant grassroots civic energy rooted in community traditions that predate the formal participation framework. The andrimasompokonolona, a traditional community watch system in which young men take structured responsibility for village security and order, provides a culturally recognised civic role for youth that carries genuine community legitimacy. Scouting movements, religious youth groups, and locally organised associations are the primary vehicles through which rural young people engage in collective activity and develop civic competencies. These community traditions are the most important point of departure for the EMPOWER+ RYP design challenge: they demonstrate that rural youth in Madagascar are not passive or disengaged </w:t>
      </w:r>
      <w:r w:rsidRPr="00BE4EE4">
        <w:rPr>
          <w:rFonts w:ascii="Poppins" w:eastAsia="Calibri" w:hAnsi="Poppins" w:cs="Poppins"/>
          <w:color w:val="1A1A1A"/>
          <w:lang w:val="en-BE"/>
        </w:rPr>
        <w:lastRenderedPageBreak/>
        <w:t>but are seeking structured civic roles that connect to governance outcomes. The most significant finding of the entire consultation is the unanimous support for a Rural Youth Parliament expressed by all thirty-four respondents, fifty percent unconditionally and fifty percent subject to conditions including adequate financial resources, strong local leadership, community recognition, and inclusive communication systems. This level of consensus constitutes a powerful mandate for the EMPOWER+ intervention.</w:t>
      </w:r>
    </w:p>
    <w:p w14:paraId="5EE322CF" w14:textId="77777777" w:rsidR="00D06B6A" w:rsidRPr="00BE4EE4" w:rsidRDefault="00D06B6A" w:rsidP="00D06B6A">
      <w:pPr>
        <w:spacing w:before="60" w:after="100"/>
        <w:jc w:val="both"/>
        <w:rPr>
          <w:rFonts w:ascii="Poppins" w:eastAsia="Calibri" w:hAnsi="Poppins" w:cs="Poppins"/>
          <w:b/>
          <w:bCs/>
          <w:i/>
          <w:iCs/>
          <w:color w:val="1A1A1A"/>
          <w:sz w:val="24"/>
          <w:szCs w:val="24"/>
          <w:lang w:val="en-BE"/>
        </w:rPr>
      </w:pPr>
      <w:r w:rsidRPr="00BE4EE4">
        <w:rPr>
          <w:rFonts w:ascii="Poppins" w:eastAsia="Calibri" w:hAnsi="Poppins" w:cs="Poppins"/>
          <w:b/>
          <w:bCs/>
          <w:i/>
          <w:iCs/>
          <w:color w:val="1A1A1A"/>
          <w:sz w:val="24"/>
          <w:szCs w:val="24"/>
          <w:lang w:val="en-BE"/>
        </w:rPr>
        <w:t>Key Diagnostic</w:t>
      </w:r>
    </w:p>
    <w:p w14:paraId="436EC18F" w14:textId="302C1C25" w:rsidR="00D06B6A" w:rsidRPr="00BE4EE4" w:rsidRDefault="00D06B6A" w:rsidP="00D06B6A">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gap is between urgent need and absent infrastructure. Rural youth cannot afford to participate financially, informationally, or in terms of the social cost of speaking up in elder-dominated spaces. The design response must address all three dimensions simultaneously.</w:t>
      </w:r>
    </w:p>
    <w:p w14:paraId="78EC7E83" w14:textId="77777777" w:rsidR="00F7034B" w:rsidRPr="00BE4EE4" w:rsidRDefault="00000000">
      <w:pPr>
        <w:pStyle w:val="Heading3"/>
        <w:keepNext/>
        <w:spacing w:before="200" w:after="60"/>
        <w:rPr>
          <w:rFonts w:ascii="Poppins" w:hAnsi="Poppins" w:cs="Poppins"/>
          <w:color w:val="2F6B3A"/>
        </w:rPr>
      </w:pPr>
      <w:bookmarkStart w:id="13" w:name="_Toc233200015"/>
      <w:r w:rsidRPr="00BE4EE4">
        <w:rPr>
          <w:rFonts w:ascii="Poppins" w:eastAsia="Calibri" w:hAnsi="Poppins" w:cs="Poppins"/>
          <w:color w:val="2F6B3A"/>
        </w:rPr>
        <w:t>2.1.3 Mauritius</w:t>
      </w:r>
      <w:bookmarkEnd w:id="13"/>
    </w:p>
    <w:p w14:paraId="408DEF7E" w14:textId="77777777" w:rsidR="00263C8C" w:rsidRPr="00BE4EE4" w:rsidRDefault="00263C8C" w:rsidP="00263C8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An Institutionally Developed Ecosystem</w:t>
      </w:r>
    </w:p>
    <w:p w14:paraId="20298134" w14:textId="77777777" w:rsidR="00263C8C" w:rsidRPr="00BE4EE4" w:rsidRDefault="00263C8C" w:rsidP="00263C8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Mauritius presents the most institutionally developed rural youth participation ecosystem in the SSA cluster. Its relatively small size, higher per-capita income, and more developed state administrative infrastructure have enabled the establishment of a layered and geographically distributed system of youth participation structures that goes significantly beyond what exists in the other three SSA partner countries. Regional Youth Councils operate in every administrative district of Mauritius, including in Rodrigues, the semi-autonomous island that represents the most geographically remote and socio-economically marginalised part of the country. The Mauritius Youth Parliament provides a biennial deliberative forum for young people aged fifteen to twenty-four, offering a tested parliamentary simulation model at national level. Youth Centres located in rural areas including Goodlands, Helvetia, and Flacq provide free internet access and direct government </w:t>
      </w:r>
      <w:r w:rsidRPr="00BE4EE4">
        <w:rPr>
          <w:rFonts w:ascii="Poppins" w:eastAsia="Calibri" w:hAnsi="Poppins" w:cs="Poppins"/>
          <w:color w:val="1A1A1A"/>
          <w:lang w:val="en-BE"/>
        </w:rPr>
        <w:lastRenderedPageBreak/>
        <w:t>service interfaces, reducing some of the informational and digital barriers to participation.</w:t>
      </w:r>
    </w:p>
    <w:p w14:paraId="734E65DB" w14:textId="77777777" w:rsidR="00263C8C" w:rsidRPr="00BE4EE4" w:rsidRDefault="00263C8C" w:rsidP="00263C8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The YUVA Model and Sustained Best Practices</w:t>
      </w:r>
    </w:p>
    <w:p w14:paraId="21A664B8" w14:textId="77777777" w:rsidR="00263C8C" w:rsidRPr="00BE4EE4" w:rsidRDefault="00263C8C" w:rsidP="00263C8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YUVA Mauritius represents one of the most analytically interesting best practices in the EMPOWER+ consortium. As a non-governmental organisation specifically targeting rural youth through its Rural Youth Empowerment Project, YUVA combines leadership training, micro-funding, and civic engagement programming in a model that explicitly addresses the economic barriers to participation alongside the institutional barriers. Its agility as a civil society organisation, its capacity to respond rapidly to emerging needs and to operate with a flexibility that formal government structures lack, is a key design feature that the EMPOWER+ platform should seek to replicate or support. Additional sustained best practices include the Maisons Familiales Rurales vocational training model, which integrates civic education with practical skills development, and the DIS-MOI Youth Clubs, which embed civic education in schools across Mauritius and Rodrigues.</w:t>
      </w:r>
    </w:p>
    <w:p w14:paraId="07729886" w14:textId="77777777" w:rsidR="00263C8C" w:rsidRPr="00BE4EE4" w:rsidRDefault="00263C8C" w:rsidP="00263C8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Key Gaps: Affiliation Dependency and Rural Exclusion</w:t>
      </w:r>
    </w:p>
    <w:p w14:paraId="52521090" w14:textId="77777777" w:rsidR="00263C8C" w:rsidRPr="00BE4EE4" w:rsidRDefault="00263C8C" w:rsidP="00263C8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Despite this relatively developed ecosystem, two significant structural gaps are identified. The first is affiliation dependency: formal participation in Regional Youth Councils and many other official structures requires membership in the National Youth Council or affiliated organisations. Rural youth who are not members of these networks, </w:t>
      </w:r>
      <w:proofErr w:type="gramStart"/>
      <w:r w:rsidRPr="00BE4EE4">
        <w:rPr>
          <w:rFonts w:ascii="Poppins" w:eastAsia="Calibri" w:hAnsi="Poppins" w:cs="Poppins"/>
          <w:color w:val="1A1A1A"/>
          <w:lang w:val="en-BE"/>
        </w:rPr>
        <w:t>the majority of</w:t>
      </w:r>
      <w:proofErr w:type="gramEnd"/>
      <w:r w:rsidRPr="00BE4EE4">
        <w:rPr>
          <w:rFonts w:ascii="Poppins" w:eastAsia="Calibri" w:hAnsi="Poppins" w:cs="Poppins"/>
          <w:color w:val="1A1A1A"/>
          <w:lang w:val="en-BE"/>
        </w:rPr>
        <w:t xml:space="preserve"> rural youth and particularly those from the most economically marginalised communities, find their accessibility to formal participation structures significantly lower than the institutional architecture would suggest. The second gap is the documented disengagement of rural youth from agriculture and rural development policy processes, despite the central importance of these issues to rural livelihoods. Rural youth participate in civic </w:t>
      </w:r>
      <w:proofErr w:type="gramStart"/>
      <w:r w:rsidRPr="00BE4EE4">
        <w:rPr>
          <w:rFonts w:ascii="Poppins" w:eastAsia="Calibri" w:hAnsi="Poppins" w:cs="Poppins"/>
          <w:color w:val="1A1A1A"/>
          <w:lang w:val="en-BE"/>
        </w:rPr>
        <w:t>structures</w:t>
      </w:r>
      <w:proofErr w:type="gramEnd"/>
      <w:r w:rsidRPr="00BE4EE4">
        <w:rPr>
          <w:rFonts w:ascii="Poppins" w:eastAsia="Calibri" w:hAnsi="Poppins" w:cs="Poppins"/>
          <w:color w:val="1A1A1A"/>
          <w:lang w:val="en-BE"/>
        </w:rPr>
        <w:t xml:space="preserve"> but those structures rarely address the specific challenges of rural </w:t>
      </w:r>
      <w:r w:rsidRPr="00BE4EE4">
        <w:rPr>
          <w:rFonts w:ascii="Poppins" w:eastAsia="Calibri" w:hAnsi="Poppins" w:cs="Poppins"/>
          <w:color w:val="1A1A1A"/>
          <w:lang w:val="en-BE"/>
        </w:rPr>
        <w:lastRenderedPageBreak/>
        <w:t>livelihoods, land access, credit, and agricultural development. This disconnect between participation structures and the issues that matter most to rural youth is a structural design failure that the RYP model must explicitly address.</w:t>
      </w:r>
    </w:p>
    <w:p w14:paraId="76033119" w14:textId="77777777" w:rsidR="00263C8C" w:rsidRPr="00BE4EE4" w:rsidRDefault="00263C8C" w:rsidP="00263C8C">
      <w:pPr>
        <w:spacing w:before="60" w:after="100"/>
        <w:jc w:val="both"/>
        <w:rPr>
          <w:rFonts w:ascii="Poppins" w:eastAsia="Calibri" w:hAnsi="Poppins" w:cs="Poppins"/>
          <w:b/>
          <w:bCs/>
          <w:i/>
          <w:iCs/>
          <w:color w:val="1A1A1A"/>
          <w:sz w:val="24"/>
          <w:szCs w:val="24"/>
          <w:lang w:val="en-BE"/>
        </w:rPr>
      </w:pPr>
      <w:r w:rsidRPr="00BE4EE4">
        <w:rPr>
          <w:rFonts w:ascii="Poppins" w:eastAsia="Calibri" w:hAnsi="Poppins" w:cs="Poppins"/>
          <w:b/>
          <w:bCs/>
          <w:i/>
          <w:iCs/>
          <w:color w:val="1A1A1A"/>
          <w:sz w:val="24"/>
          <w:szCs w:val="24"/>
          <w:lang w:val="en-BE"/>
        </w:rPr>
        <w:t>Key Diagnostic</w:t>
      </w:r>
    </w:p>
    <w:p w14:paraId="5F73B710" w14:textId="509EC548" w:rsidR="00263C8C" w:rsidRPr="00BE4EE4" w:rsidRDefault="00263C8C" w:rsidP="00263C8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Formal participation depends on National Youth Council affiliation. Independent rural youth, the majority, remain underserved. Either the affiliation model must expand its reach, or accessible non-affiliated participation pathways must be created alongside it.</w:t>
      </w:r>
    </w:p>
    <w:p w14:paraId="78B4D82D" w14:textId="77777777" w:rsidR="00F7034B" w:rsidRPr="00BE4EE4" w:rsidRDefault="00000000">
      <w:pPr>
        <w:pStyle w:val="Heading3"/>
        <w:keepNext/>
        <w:spacing w:before="200" w:after="60"/>
        <w:rPr>
          <w:rFonts w:ascii="Poppins" w:hAnsi="Poppins" w:cs="Poppins"/>
          <w:color w:val="2F6B3A"/>
        </w:rPr>
      </w:pPr>
      <w:bookmarkStart w:id="14" w:name="_Toc233200016"/>
      <w:r w:rsidRPr="00BE4EE4">
        <w:rPr>
          <w:rFonts w:ascii="Poppins" w:eastAsia="Calibri" w:hAnsi="Poppins" w:cs="Poppins"/>
          <w:color w:val="2F6B3A"/>
        </w:rPr>
        <w:t>2.1.4 Nigeria</w:t>
      </w:r>
      <w:bookmarkEnd w:id="14"/>
    </w:p>
    <w:p w14:paraId="54A2B791" w14:textId="77777777" w:rsidR="009C6E45" w:rsidRPr="00BE4EE4" w:rsidRDefault="009C6E45" w:rsidP="009C6E45">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Scale, Complexity, and Structural Fragmentation</w:t>
      </w:r>
    </w:p>
    <w:p w14:paraId="0169295F" w14:textId="77777777" w:rsidR="009C6E45" w:rsidRPr="00BE4EE4" w:rsidRDefault="009C6E45" w:rsidP="009C6E45">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Nigeria's Task 2.1 report is the most comprehensive formal diagnostic in the consortium, reflecting both the country's scale as Africa's most populous nation and the complexity of its multi-level governance architecture spanning federal, state, and local government levels. The formal structures documented are extensive: the National Youth Council of Nigeria with thirty-six state chapters and seven hundred and seventy-four Local Government Area branches; the Nigeria Youth Parliament; and at least fifteen state youth parliaments across different states. Beneath this formally extensive architecture, however, the analysis reveals a landscape of profound structural fragmentation. Formal structures are geographically concentrated in state and LGA capitals and structurally disconnected from the rural communities where </w:t>
      </w:r>
      <w:proofErr w:type="gramStart"/>
      <w:r w:rsidRPr="00BE4EE4">
        <w:rPr>
          <w:rFonts w:ascii="Poppins" w:eastAsia="Calibri" w:hAnsi="Poppins" w:cs="Poppins"/>
          <w:color w:val="1A1A1A"/>
          <w:lang w:val="en-BE"/>
        </w:rPr>
        <w:t>the majority of</w:t>
      </w:r>
      <w:proofErr w:type="gramEnd"/>
      <w:r w:rsidRPr="00BE4EE4">
        <w:rPr>
          <w:rFonts w:ascii="Poppins" w:eastAsia="Calibri" w:hAnsi="Poppins" w:cs="Poppins"/>
          <w:color w:val="1A1A1A"/>
          <w:lang w:val="en-BE"/>
        </w:rPr>
        <w:t xml:space="preserve"> Nigerian youth live. The NYCN itself has faced documented governance failures including financial irregularities and internal conflicts that have significantly undermined its credibility as a representative body.</w:t>
      </w:r>
    </w:p>
    <w:p w14:paraId="3A64C002" w14:textId="77777777" w:rsidR="009C6E45" w:rsidRPr="00BE4EE4" w:rsidRDefault="009C6E45" w:rsidP="009C6E45">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Informal and Hybrid Structures as the Real Participation Architecture</w:t>
      </w:r>
    </w:p>
    <w:p w14:paraId="4626E3CB" w14:textId="77777777" w:rsidR="009C6E45" w:rsidRPr="00BE4EE4" w:rsidRDefault="009C6E45" w:rsidP="009C6E45">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lastRenderedPageBreak/>
        <w:t>Far more accessible and trusted by rural youth than the formal NYCN infrastructure are the informal and hybrid participation structures operating at community level. Age-grade associations, organised groups of youth born within a defined age range, are a deeply embedded social institution in many parts of Nigeria, particularly in the Southeast and South-South. They provide structured collective action frameworks, community service obligations, peer accountability systems, and informal governance roles that far exceed what the formal youth parliament structure provides in terms of rural accessibility and cultural legitimacy. The Sarkin Samari institution, the traditional youth leadership system found in Northern Nigeria, is particularly significant. Sarkin Samari chiefs hold formal traditional authority recognised within the emirate council system, provide a channel for youth concerns to reach traditional leadership, and in some cases hold formal advisory roles in local government processes. This institution represents a form of institutionalised intergenerational governance with no direct equivalent in the other SSA partner countries and offers a promising design reference for EMPOWER+ RYP development.</w:t>
      </w:r>
    </w:p>
    <w:p w14:paraId="5CFDCA98" w14:textId="77777777" w:rsidR="009C6E45" w:rsidRPr="00BE4EE4" w:rsidRDefault="009C6E45" w:rsidP="009C6E45">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Legal Framework and the Financing Crisis</w:t>
      </w:r>
    </w:p>
    <w:p w14:paraId="0F521FFC" w14:textId="5020C777" w:rsidR="009C6E45" w:rsidRPr="00BE4EE4" w:rsidRDefault="009C6E45" w:rsidP="009C6E45">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Nigeria's constitutional and policy framework is simultaneously legally permissive and practically inoperative. The 1999 Constitution's participation principle is non-justiciable, establishing a stated commitment to participation but providing no legal basis for enforcing it or holding institutions accountable for non-implementation. The National Youth Policy of 2019 provides a framework commitment but lacks implementation mandates or financing mechanisms. The most acute structural constraint is the financing gap. Youth-related public expenditure is documented at below one percent of state budgets in most states, </w:t>
      </w:r>
      <w:r w:rsidR="00D126EE">
        <w:rPr>
          <w:rFonts w:ascii="Poppins" w:eastAsia="Calibri" w:hAnsi="Poppins" w:cs="Poppins"/>
          <w:color w:val="1A1A1A"/>
          <w:lang w:val="en-BE"/>
        </w:rPr>
        <w:t xml:space="preserve">with the highest recorded per-youth expenditure standing at only NGN 4,299 (Bayelsa State, 2022), a figure that makes any notion of funded, accessible </w:t>
      </w:r>
      <w:r w:rsidR="00D126EE">
        <w:rPr>
          <w:rFonts w:ascii="Poppins" w:eastAsia="Calibri" w:hAnsi="Poppins" w:cs="Poppins"/>
          <w:color w:val="1A1A1A"/>
          <w:lang w:val="en-BE"/>
        </w:rPr>
        <w:lastRenderedPageBreak/>
        <w:t xml:space="preserve">participation infrastructure a distant aspiration without deliberate corrective </w:t>
      </w:r>
      <w:proofErr w:type="gramStart"/>
      <w:r w:rsidR="00D126EE">
        <w:rPr>
          <w:rFonts w:ascii="Poppins" w:eastAsia="Calibri" w:hAnsi="Poppins" w:cs="Poppins"/>
          <w:color w:val="1A1A1A"/>
          <w:lang w:val="en-BE"/>
        </w:rPr>
        <w:t>action.</w:t>
      </w:r>
      <w:r w:rsidRPr="00BE4EE4">
        <w:rPr>
          <w:rFonts w:ascii="Poppins" w:eastAsia="Calibri" w:hAnsi="Poppins" w:cs="Poppins"/>
          <w:color w:val="1A1A1A"/>
          <w:lang w:val="en-BE"/>
        </w:rPr>
        <w:t>.</w:t>
      </w:r>
      <w:proofErr w:type="gramEnd"/>
      <w:r w:rsidRPr="00BE4EE4">
        <w:rPr>
          <w:rFonts w:ascii="Poppins" w:eastAsia="Calibri" w:hAnsi="Poppins" w:cs="Poppins"/>
          <w:color w:val="1A1A1A"/>
          <w:lang w:val="en-BE"/>
        </w:rPr>
        <w:t xml:space="preserve"> Without predictable, dedicated public financing at the Local Government Area level, any youth parliament structure, however well designed, will be dependent on external project funding and therefore inherently episodic.</w:t>
      </w:r>
    </w:p>
    <w:p w14:paraId="6A669F3E" w14:textId="77777777" w:rsidR="009C6E45" w:rsidRPr="00BE4EE4" w:rsidRDefault="009C6E45" w:rsidP="009C6E45">
      <w:pPr>
        <w:spacing w:before="60" w:after="100"/>
        <w:jc w:val="both"/>
        <w:rPr>
          <w:rFonts w:ascii="Poppins" w:eastAsia="Calibri" w:hAnsi="Poppins" w:cs="Poppins"/>
          <w:b/>
          <w:bCs/>
          <w:i/>
          <w:iCs/>
          <w:color w:val="1A1A1A"/>
          <w:sz w:val="24"/>
          <w:szCs w:val="24"/>
          <w:lang w:val="en-BE"/>
        </w:rPr>
      </w:pPr>
      <w:r w:rsidRPr="00BE4EE4">
        <w:rPr>
          <w:rFonts w:ascii="Poppins" w:eastAsia="Calibri" w:hAnsi="Poppins" w:cs="Poppins"/>
          <w:b/>
          <w:bCs/>
          <w:i/>
          <w:iCs/>
          <w:color w:val="1A1A1A"/>
          <w:sz w:val="24"/>
          <w:szCs w:val="24"/>
          <w:lang w:val="en-BE"/>
        </w:rPr>
        <w:t>Key Diagnostic</w:t>
      </w:r>
    </w:p>
    <w:p w14:paraId="3C251DBC" w14:textId="08244588" w:rsidR="009C6E45" w:rsidRPr="00BE4EE4" w:rsidRDefault="009C6E45" w:rsidP="00263C8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binding constraint is the fragmentation between locally legitimate informal structures that lack authority and formally authoritative institutions that lack proximity to rural reality. Any effective RYP must bridge these two levels and be backed by predictable LGA-level public financing from inception.</w:t>
      </w:r>
    </w:p>
    <w:p w14:paraId="74AE921D" w14:textId="77777777" w:rsidR="00F7034B" w:rsidRPr="00BE4EE4" w:rsidRDefault="00000000">
      <w:pPr>
        <w:pStyle w:val="Heading2"/>
        <w:keepNext/>
        <w:spacing w:before="280" w:after="80"/>
        <w:rPr>
          <w:rFonts w:ascii="Poppins" w:hAnsi="Poppins" w:cs="Poppins"/>
          <w:color w:val="B7C3A1"/>
        </w:rPr>
      </w:pPr>
      <w:bookmarkStart w:id="15" w:name="_Toc233200017"/>
      <w:r w:rsidRPr="00BE4EE4">
        <w:rPr>
          <w:rFonts w:ascii="Poppins" w:eastAsia="Calibri" w:hAnsi="Poppins" w:cs="Poppins"/>
          <w:color w:val="B7C3A1"/>
        </w:rPr>
        <w:t>2.2 European Partner Countries</w:t>
      </w:r>
      <w:bookmarkEnd w:id="15"/>
    </w:p>
    <w:p w14:paraId="68285540" w14:textId="77777777" w:rsidR="00F7034B" w:rsidRPr="00BE4EE4" w:rsidRDefault="00000000">
      <w:pPr>
        <w:pStyle w:val="Heading3"/>
        <w:keepNext/>
        <w:spacing w:before="200" w:after="60"/>
        <w:rPr>
          <w:rFonts w:ascii="Poppins" w:hAnsi="Poppins" w:cs="Poppins"/>
          <w:color w:val="2F6B3A"/>
        </w:rPr>
      </w:pPr>
      <w:bookmarkStart w:id="16" w:name="_Toc233200018"/>
      <w:r w:rsidRPr="00BE4EE4">
        <w:rPr>
          <w:rFonts w:ascii="Poppins" w:eastAsia="Calibri" w:hAnsi="Poppins" w:cs="Poppins"/>
          <w:color w:val="2F6B3A"/>
        </w:rPr>
        <w:t>2.2.1 Greece</w:t>
      </w:r>
      <w:bookmarkEnd w:id="16"/>
    </w:p>
    <w:p w14:paraId="4270E954" w14:textId="77777777" w:rsidR="002166DC" w:rsidRPr="00BE4EE4" w:rsidRDefault="002166DC" w:rsidP="002166D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Institutional Landscape and Formal Structures</w:t>
      </w:r>
    </w:p>
    <w:p w14:paraId="00B4222C" w14:textId="77777777" w:rsidR="002166DC" w:rsidRPr="00BE4EE4" w:rsidRDefault="002166DC" w:rsidP="002166D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Greece's youth participation ecosystem is diverse and formally developed within the EU Youth Strategy framework. The Hellenic National Youth Council serves as the principal representative body for youth organisations at national level, providing a formal interface between organised youth and government. Municipal Youth Councils operate in </w:t>
      </w:r>
      <w:proofErr w:type="gramStart"/>
      <w:r w:rsidRPr="00BE4EE4">
        <w:rPr>
          <w:rFonts w:ascii="Poppins" w:eastAsia="Calibri" w:hAnsi="Poppins" w:cs="Poppins"/>
          <w:color w:val="1A1A1A"/>
          <w:lang w:val="en-BE"/>
        </w:rPr>
        <w:t>a number of</w:t>
      </w:r>
      <w:proofErr w:type="gramEnd"/>
      <w:r w:rsidRPr="00BE4EE4">
        <w:rPr>
          <w:rFonts w:ascii="Poppins" w:eastAsia="Calibri" w:hAnsi="Poppins" w:cs="Poppins"/>
          <w:color w:val="1A1A1A"/>
          <w:lang w:val="en-BE"/>
        </w:rPr>
        <w:t xml:space="preserve"> municipalities across the country, with the Municipal Youth Council of Larissa representing the best-documented example of structured youth input into municipal decision-making, holding regular thematic committee meetings on education, culture, and social policy. Community initiatives including Save Your Hood and </w:t>
      </w:r>
      <w:proofErr w:type="spellStart"/>
      <w:r w:rsidRPr="00BE4EE4">
        <w:rPr>
          <w:rFonts w:ascii="Poppins" w:eastAsia="Calibri" w:hAnsi="Poppins" w:cs="Poppins"/>
          <w:color w:val="1A1A1A"/>
          <w:lang w:val="en-BE"/>
        </w:rPr>
        <w:t>Ecogenia</w:t>
      </w:r>
      <w:proofErr w:type="spellEnd"/>
      <w:r w:rsidRPr="00BE4EE4">
        <w:rPr>
          <w:rFonts w:ascii="Poppins" w:eastAsia="Calibri" w:hAnsi="Poppins" w:cs="Poppins"/>
          <w:color w:val="1A1A1A"/>
          <w:lang w:val="en-BE"/>
        </w:rPr>
        <w:t xml:space="preserve"> have pioneered participatory approaches in neighbourhood and environmental governance, demonstrating the vitality of non-formal participation beyond institutional structures.</w:t>
      </w:r>
    </w:p>
    <w:p w14:paraId="198F9F9E" w14:textId="77777777" w:rsidR="002166DC" w:rsidRPr="00BE4EE4" w:rsidRDefault="002166DC" w:rsidP="002166D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Rural Gaps and Implementation Limits</w:t>
      </w:r>
    </w:p>
    <w:p w14:paraId="35EB3BA1" w14:textId="77777777" w:rsidR="002166DC" w:rsidRPr="00BE4EE4" w:rsidRDefault="002166DC" w:rsidP="002166D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lastRenderedPageBreak/>
        <w:t>The Greek Task 2.1 report identifies three key structural gaps that are directly relevant to the EMPOWER+ design challenge. First, participation opportunities are geographically concentrated in urban centres, with rural municipalities significantly underserved by both formal institutional structures and civil society-driven participation programming. Second, Municipal Youth Councils are inconsistently established and functioning across municipalities: while the legal basis for their creation exists, many rural municipalities have not established them, and those that exist vary enormously in their activity levels and institutional integration. Third, the dependency on project-based EU funding creates structural fragility: participation structures are energised during project cycles and retreat when funding ends, producing an episodic rather than sustained pattern of engagement that is particularly damaging to trust-building with rural youth.</w:t>
      </w:r>
    </w:p>
    <w:p w14:paraId="1C5B5C8E" w14:textId="77777777" w:rsidR="002166DC" w:rsidRPr="00BE4EE4" w:rsidRDefault="002166DC" w:rsidP="002166D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Transferability to SSA Design</w:t>
      </w:r>
    </w:p>
    <w:p w14:paraId="77FA7346" w14:textId="77777777" w:rsidR="002166DC" w:rsidRPr="00BE4EE4" w:rsidRDefault="002166DC" w:rsidP="002166D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Greece's contribution to the EMPOWER+ knowledge transfer process lies primarily in its documented Municipal Youth Council experience, which provides a reference model for the institutional integration of youth deliberative bodies into local governance. The experience of Larissa </w:t>
      </w:r>
      <w:proofErr w:type="gramStart"/>
      <w:r w:rsidRPr="00BE4EE4">
        <w:rPr>
          <w:rFonts w:ascii="Poppins" w:eastAsia="Calibri" w:hAnsi="Poppins" w:cs="Poppins"/>
          <w:color w:val="1A1A1A"/>
          <w:lang w:val="en-BE"/>
        </w:rPr>
        <w:t>in particular demonstrates</w:t>
      </w:r>
      <w:proofErr w:type="gramEnd"/>
      <w:r w:rsidRPr="00BE4EE4">
        <w:rPr>
          <w:rFonts w:ascii="Poppins" w:eastAsia="Calibri" w:hAnsi="Poppins" w:cs="Poppins"/>
          <w:color w:val="1A1A1A"/>
          <w:lang w:val="en-BE"/>
        </w:rPr>
        <w:t xml:space="preserve"> how a youth council can develop genuine thematic working relationships with municipal departments, moving beyond symbolic consultation toward structured engagement with specific policy domains. The consistent finding that even this relatively well-resourced European context faces challenges of rural underrepresentation and project-funding fragility is itself an important lesson: these are structural challenges of youth governance, not development-context-specific failures.</w:t>
      </w:r>
    </w:p>
    <w:p w14:paraId="2A5D60E8" w14:textId="77777777" w:rsidR="002166DC" w:rsidRPr="00BE4EE4" w:rsidRDefault="002166DC">
      <w:pPr>
        <w:spacing w:before="60" w:after="100"/>
        <w:jc w:val="both"/>
        <w:rPr>
          <w:rFonts w:ascii="Poppins" w:eastAsia="Calibri" w:hAnsi="Poppins" w:cs="Poppins"/>
          <w:b/>
          <w:bCs/>
          <w:i/>
          <w:iCs/>
          <w:color w:val="1A1A1A"/>
          <w:sz w:val="24"/>
          <w:szCs w:val="24"/>
          <w:lang w:val="en-BE"/>
        </w:rPr>
      </w:pPr>
      <w:r w:rsidRPr="00BE4EE4">
        <w:rPr>
          <w:rFonts w:ascii="Poppins" w:eastAsia="Calibri" w:hAnsi="Poppins" w:cs="Poppins"/>
          <w:b/>
          <w:bCs/>
          <w:i/>
          <w:iCs/>
          <w:color w:val="1A1A1A"/>
          <w:sz w:val="24"/>
          <w:szCs w:val="24"/>
          <w:lang w:val="en-BE"/>
        </w:rPr>
        <w:t>Transferability Lesson</w:t>
      </w:r>
    </w:p>
    <w:p w14:paraId="62D94A16" w14:textId="36104CC1" w:rsidR="002166DC" w:rsidRPr="00BE4EE4" w:rsidRDefault="002166D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Even in a middle-income European democracy with EU structural fund access, Municipal Youth Councils are inconsistently active in rural areas and project </w:t>
      </w:r>
      <w:r w:rsidRPr="00BE4EE4">
        <w:rPr>
          <w:rFonts w:ascii="Poppins" w:eastAsia="Calibri" w:hAnsi="Poppins" w:cs="Poppins"/>
          <w:color w:val="1A1A1A"/>
          <w:lang w:val="en-BE"/>
        </w:rPr>
        <w:lastRenderedPageBreak/>
        <w:t>funding creates structural fragility. These patterns will be more acute in SSA contexts and require explicit design mitigation.</w:t>
      </w:r>
    </w:p>
    <w:p w14:paraId="467FD6D6" w14:textId="249803EA" w:rsidR="00F7034B" w:rsidRPr="00BE4EE4" w:rsidRDefault="00000000">
      <w:pPr>
        <w:pStyle w:val="Heading3"/>
        <w:keepNext/>
        <w:spacing w:before="200" w:after="60"/>
        <w:rPr>
          <w:rFonts w:ascii="Poppins" w:hAnsi="Poppins" w:cs="Poppins"/>
          <w:color w:val="2F6B3A"/>
        </w:rPr>
      </w:pPr>
      <w:bookmarkStart w:id="17" w:name="_Toc233200019"/>
      <w:r w:rsidRPr="00BE4EE4">
        <w:rPr>
          <w:rFonts w:ascii="Poppins" w:eastAsia="Calibri" w:hAnsi="Poppins" w:cs="Poppins"/>
          <w:color w:val="2F6B3A"/>
        </w:rPr>
        <w:t>2.2.2 Italy</w:t>
      </w:r>
      <w:bookmarkEnd w:id="17"/>
    </w:p>
    <w:p w14:paraId="667AF241" w14:textId="77777777" w:rsidR="002166DC" w:rsidRPr="00BE4EE4" w:rsidRDefault="002166DC" w:rsidP="002166D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Resource Availability and Institutional Fragmentation</w:t>
      </w:r>
    </w:p>
    <w:p w14:paraId="15AC8FEB" w14:textId="77777777" w:rsidR="002166DC" w:rsidRPr="00BE4EE4" w:rsidRDefault="002166DC" w:rsidP="002166D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Italy's participation landscape combines significant resource availability, particularly through the PNRR National Recovery and Resilience Plan and the Erasmus+ ecosystem, with pronounced institutional fragmentation and a rural-urban participation divide that is particularly acute in Southern Italy and Sicily. The Consiglio Nazionale </w:t>
      </w:r>
      <w:proofErr w:type="spellStart"/>
      <w:r w:rsidRPr="00BE4EE4">
        <w:rPr>
          <w:rFonts w:ascii="Poppins" w:eastAsia="Calibri" w:hAnsi="Poppins" w:cs="Poppins"/>
          <w:color w:val="1A1A1A"/>
          <w:lang w:val="en-BE"/>
        </w:rPr>
        <w:t>dei</w:t>
      </w:r>
      <w:proofErr w:type="spellEnd"/>
      <w:r w:rsidRPr="00BE4EE4">
        <w:rPr>
          <w:rFonts w:ascii="Poppins" w:eastAsia="Calibri" w:hAnsi="Poppins" w:cs="Poppins"/>
          <w:color w:val="1A1A1A"/>
          <w:lang w:val="en-BE"/>
        </w:rPr>
        <w:t xml:space="preserve"> Giovani, established by Law 145/2018, advises national government and provides a formal institutional channel for youth voice at the highest level. The National Strategy for Inner Areas represents the most significant policy framework specifically addressing rural and marginal territories, though its youth engagement dimension remains underdeveloped relative to its economic and infrastructure dimensions. Sicily's fifty-three-point-six percent youth unemployment rate provides the structural backdrop against which all participation programming must be read: when economic exclusion is this severe, civic engagement competes directly with economic survival as a priority.</w:t>
      </w:r>
    </w:p>
    <w:p w14:paraId="1819D7DB" w14:textId="77777777" w:rsidR="002166DC" w:rsidRPr="00BE4EE4" w:rsidRDefault="002166DC" w:rsidP="002166D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Best Practices: YEPP, A Rocca, and the Limits of Funding</w:t>
      </w:r>
    </w:p>
    <w:p w14:paraId="327AA9DA" w14:textId="77777777" w:rsidR="002166DC" w:rsidRPr="00BE4EE4" w:rsidRDefault="002166DC" w:rsidP="002166D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best practices documented in the Italian Task 2.1 report are analytically significant for the EMPOWER+ design process. YEPP Italia, the Youth Empowerment Partnership Programme, operates in over fifty rural municipalities through Local Support Groups that combine genuine youth ownership, dedicated budget authority, and long-term relational investment in a model sustained across multiple project cycles. Its effectiveness derives not from the level of funding available but from the combination of three features: youth delegates control real resources; the Local Support Group format builds sustained relationships between </w:t>
      </w:r>
      <w:r w:rsidRPr="00BE4EE4">
        <w:rPr>
          <w:rFonts w:ascii="Poppins" w:eastAsia="Calibri" w:hAnsi="Poppins" w:cs="Poppins"/>
          <w:color w:val="1A1A1A"/>
          <w:lang w:val="en-BE"/>
        </w:rPr>
        <w:lastRenderedPageBreak/>
        <w:t>youth and institutional actors over time; and the methodology explicitly addresses the confidence and skill deficits that prevent marginalised rural youth from engaging in formal processes. A Rocca's fifteen-year Erasmus+ and ESC internationalisation hub in Barcellona Pozzo di Gotto represents a model of sustained institutional commitment to youth international mobility from a Southern European rural context. Resto al Sud, the national grant scheme, has reached over three thousand young Sicilian entrepreneurs and offers a model of dedicated public financing for youth economic empowerment.</w:t>
      </w:r>
    </w:p>
    <w:p w14:paraId="26D2DA00" w14:textId="77777777" w:rsidR="002166DC" w:rsidRPr="00BE4EE4" w:rsidRDefault="002166DC" w:rsidP="002166D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Gaps and Rural-Urban Divide</w:t>
      </w:r>
    </w:p>
    <w:p w14:paraId="0202089F" w14:textId="77777777" w:rsidR="002166DC" w:rsidRPr="00BE4EE4" w:rsidRDefault="002166DC" w:rsidP="002166D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key gaps identified in the Italian report are institutional fragmentation, the absence of a unified national youth strategy that would coordinate the many overlapping programmes and funding streams, and weak implementation of regional youth participation frameworks in rural municipalities. Participation structures in rural and inner areas remain predominantly project-based, with no institutional mandate ensuring their continuity between funding cycles. The consultation fatigue documented among Italian youth, a sense that participation processes are advisory without consequence, mirrors the findings from SSA partner countries and reinforces the cross-cutting conclusion that moving from consultation to co-decision is the central design challenge facing all EMPOWER+ partner contexts.</w:t>
      </w:r>
    </w:p>
    <w:p w14:paraId="4A8FC71F" w14:textId="77777777" w:rsidR="002166DC" w:rsidRPr="00BE4EE4" w:rsidRDefault="002166DC" w:rsidP="002166DC">
      <w:pPr>
        <w:spacing w:before="60" w:after="100"/>
        <w:jc w:val="both"/>
        <w:rPr>
          <w:rFonts w:ascii="Poppins" w:eastAsia="Calibri" w:hAnsi="Poppins" w:cs="Poppins"/>
          <w:b/>
          <w:bCs/>
          <w:i/>
          <w:iCs/>
          <w:color w:val="1A1A1A"/>
          <w:sz w:val="24"/>
          <w:szCs w:val="24"/>
          <w:lang w:val="en-BE"/>
        </w:rPr>
      </w:pPr>
      <w:r w:rsidRPr="00BE4EE4">
        <w:rPr>
          <w:rFonts w:ascii="Poppins" w:eastAsia="Calibri" w:hAnsi="Poppins" w:cs="Poppins"/>
          <w:b/>
          <w:bCs/>
          <w:i/>
          <w:iCs/>
          <w:color w:val="1A1A1A"/>
          <w:sz w:val="24"/>
          <w:szCs w:val="24"/>
          <w:lang w:val="en-BE"/>
        </w:rPr>
        <w:t>Transferability Lesson</w:t>
      </w:r>
    </w:p>
    <w:p w14:paraId="45C1472C" w14:textId="083BC522" w:rsidR="002166DC" w:rsidRPr="00BE4EE4" w:rsidRDefault="002166DC" w:rsidP="002166D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High levels of funding are insufficient without institutional coordination and a stable mandate for youth co-decision. The most effective Italian models succeed because they combine resources with genuine youth ownership and sustained relational investment, not money alone.</w:t>
      </w:r>
    </w:p>
    <w:p w14:paraId="54970436" w14:textId="56152912" w:rsidR="00F7034B" w:rsidRPr="00BE4EE4" w:rsidRDefault="00000000">
      <w:pPr>
        <w:pStyle w:val="Heading3"/>
        <w:keepNext/>
        <w:spacing w:before="200" w:after="60"/>
        <w:rPr>
          <w:rFonts w:ascii="Poppins" w:hAnsi="Poppins" w:cs="Poppins"/>
          <w:color w:val="2F6B3A"/>
        </w:rPr>
      </w:pPr>
      <w:bookmarkStart w:id="18" w:name="_Toc233200020"/>
      <w:r w:rsidRPr="00BE4EE4">
        <w:rPr>
          <w:rFonts w:ascii="Poppins" w:eastAsia="Calibri" w:hAnsi="Poppins" w:cs="Poppins"/>
          <w:color w:val="2F6B3A"/>
        </w:rPr>
        <w:lastRenderedPageBreak/>
        <w:t>2.2.3 Romania</w:t>
      </w:r>
      <w:bookmarkEnd w:id="18"/>
    </w:p>
    <w:p w14:paraId="2474CE3F" w14:textId="77777777" w:rsidR="00F455C9" w:rsidRPr="00BE4EE4" w:rsidRDefault="00F455C9" w:rsidP="00F455C9">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Territory, Context, and Structural Parallels with SSA</w:t>
      </w:r>
    </w:p>
    <w:p w14:paraId="30190394" w14:textId="77777777" w:rsidR="00F455C9" w:rsidRPr="00BE4EE4" w:rsidRDefault="00F455C9" w:rsidP="00F455C9">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Romania's report focuses specifically on the territory of LAG Napoca Porolissum, a multi-commune mountainous rural area in Cluj County characterised by geographic dispersion, challenging transport connectivity, and significant youth out-migration pressures. This specificity is a deliberate methodological choice that reflects the project's design logic: Romania contributes not a national overview but a deep case study of a specific rural governance context from which SSA adaptation lessons can be drawn with precision. The territory's geographic challenges, limited transport infrastructure, dispersed population across multiple small communes, and the pressure of youth out-migration to urban centres create a set of conditions that share important structural features with SSA rural governance contexts, even where income levels and institutional environments differ fundamentally.</w:t>
      </w:r>
    </w:p>
    <w:p w14:paraId="4AAB238D" w14:textId="77777777" w:rsidR="00F455C9" w:rsidRPr="00BE4EE4" w:rsidRDefault="00F455C9" w:rsidP="00F455C9">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The LAG-Based RYP Model: Methodology and Evidence</w:t>
      </w:r>
    </w:p>
    <w:p w14:paraId="227FA972" w14:textId="77777777" w:rsidR="00F455C9" w:rsidRPr="00BE4EE4" w:rsidRDefault="00F455C9" w:rsidP="00F455C9">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Rural Youth Parliament initiative developed within the LAG Napoca Porolissum territory is the most directly transferable European contribution to the EMPOWER+ project. It is a structured deliberation model that organises youth delegates from dispersed rural communes into a parliament format, produces community-oriented action proposals linked to LAG governance processes, and has generated documented community actions including environmental campaigns, cultural events, and local project support across multiple implementation cycles. The complete facilitation guide, deliberation format, and community-action follow-up methodology have been documented and tested through practice, making it the most ready-to-adapt European model in the consortium. The formal resources supporting this work include Law 52/2003 on public consultation, the Youth Law 350/2006, LEADER governance through the LAG structure, and the National Youth </w:t>
      </w:r>
      <w:r w:rsidRPr="00BE4EE4">
        <w:rPr>
          <w:rFonts w:ascii="Poppins" w:eastAsia="Calibri" w:hAnsi="Poppins" w:cs="Poppins"/>
          <w:color w:val="1A1A1A"/>
          <w:lang w:val="en-BE"/>
        </w:rPr>
        <w:lastRenderedPageBreak/>
        <w:t>Strategy 2024-2027, which explicitly addresses rural youth disadvantages in a way that is more rural-sensitive than equivalent instruments in most other partner countries.</w:t>
      </w:r>
    </w:p>
    <w:p w14:paraId="1694505C" w14:textId="77777777" w:rsidR="00F455C9" w:rsidRPr="00BE4EE4" w:rsidRDefault="00F455C9" w:rsidP="00F455C9">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Key Gaps and Adaptation Challenges</w:t>
      </w:r>
    </w:p>
    <w:p w14:paraId="52DB9A02" w14:textId="77777777" w:rsidR="00F455C9" w:rsidRPr="00BE4EE4" w:rsidRDefault="00F455C9" w:rsidP="00F455C9">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key gaps identified in the Romanian report are the limited rural mediation capacity in dispersed mountain territories, where the absence of trained youth workers and facilitators in the most remote communes creates a persistent barrier to reaching the most isolated youth; geographic and transport barriers that require explicit resource provisions for participant support; and the institutional transition uncertainty following the establishment of Youth and Family County Directions under Government Decision 197/2022, which has created some ambiguity in the county-level institutional landscape for youth programming. These gaps are directly relevant to SSA RYP design: they demonstrate that even the most carefully designed methodology faces implementation challenges rooted in rural geography, and that community facilitators are not optional programme elements but core infrastructure.</w:t>
      </w:r>
    </w:p>
    <w:p w14:paraId="48B435F6" w14:textId="77777777" w:rsidR="00F455C9" w:rsidRPr="00BE4EE4" w:rsidRDefault="00F455C9" w:rsidP="00F455C9">
      <w:pPr>
        <w:spacing w:before="60" w:after="100"/>
        <w:jc w:val="both"/>
        <w:rPr>
          <w:rFonts w:ascii="Poppins" w:eastAsia="Calibri" w:hAnsi="Poppins" w:cs="Poppins"/>
          <w:b/>
          <w:bCs/>
          <w:i/>
          <w:iCs/>
          <w:color w:val="1A1A1A"/>
          <w:sz w:val="24"/>
          <w:szCs w:val="24"/>
          <w:lang w:val="en-BE"/>
        </w:rPr>
      </w:pPr>
      <w:r w:rsidRPr="00BE4EE4">
        <w:rPr>
          <w:rFonts w:ascii="Poppins" w:eastAsia="Calibri" w:hAnsi="Poppins" w:cs="Poppins"/>
          <w:b/>
          <w:bCs/>
          <w:i/>
          <w:iCs/>
          <w:color w:val="1A1A1A"/>
          <w:sz w:val="24"/>
          <w:szCs w:val="24"/>
          <w:lang w:val="en-BE"/>
        </w:rPr>
        <w:t>Transferability Lesson</w:t>
      </w:r>
    </w:p>
    <w:p w14:paraId="4DB02E98" w14:textId="0CAFA0B0" w:rsidR="00F455C9" w:rsidRPr="00BE4EE4" w:rsidRDefault="00F455C9" w:rsidP="00F455C9">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LAG-based RYP methodology is the most directly applicable European model for SSA adaptation. The deliberation format, facilitation guide, and community-action link are all adaptable, but the institutional anchoring strategy must be redesigned for each SSA context since the LAG governance infrastructure has no direct SSA equivalent.</w:t>
      </w:r>
    </w:p>
    <w:p w14:paraId="00216019" w14:textId="77777777" w:rsidR="00F455C9" w:rsidRPr="00BE4EE4" w:rsidRDefault="00F455C9" w:rsidP="00F455C9">
      <w:pPr>
        <w:spacing w:before="60" w:after="100"/>
        <w:jc w:val="both"/>
        <w:rPr>
          <w:rFonts w:ascii="Poppins" w:hAnsi="Poppins" w:cs="Poppins"/>
          <w:lang w:val="en-BE"/>
        </w:rPr>
      </w:pPr>
    </w:p>
    <w:p w14:paraId="3D50637F" w14:textId="77777777" w:rsidR="00F7034B" w:rsidRPr="00BE4EE4" w:rsidRDefault="00000000">
      <w:pPr>
        <w:rPr>
          <w:rFonts w:ascii="Poppins" w:hAnsi="Poppins" w:cs="Poppins"/>
        </w:rPr>
      </w:pPr>
      <w:r w:rsidRPr="00BE4EE4">
        <w:rPr>
          <w:rFonts w:ascii="Poppins" w:hAnsi="Poppins" w:cs="Poppins"/>
        </w:rPr>
        <w:br w:type="page"/>
      </w:r>
    </w:p>
    <w:p w14:paraId="5005C2A5" w14:textId="77777777" w:rsidR="00F7034B" w:rsidRPr="00BE4EE4" w:rsidRDefault="00000000">
      <w:pPr>
        <w:pStyle w:val="Heading1"/>
        <w:keepNext/>
        <w:spacing w:before="360" w:after="120"/>
        <w:rPr>
          <w:rFonts w:ascii="Poppins" w:hAnsi="Poppins" w:cs="Poppins"/>
          <w:color w:val="2F6B3A"/>
        </w:rPr>
      </w:pPr>
      <w:bookmarkStart w:id="19" w:name="_Toc233200021"/>
      <w:r w:rsidRPr="00BE4EE4">
        <w:rPr>
          <w:rFonts w:ascii="Poppins" w:eastAsia="Calibri" w:hAnsi="Poppins" w:cs="Poppins"/>
          <w:color w:val="2F6B3A"/>
        </w:rPr>
        <w:lastRenderedPageBreak/>
        <w:t>3. Task 2.2 Country Findings: Participation Tools and Stakeholder Evidence</w:t>
      </w:r>
      <w:bookmarkEnd w:id="19"/>
    </w:p>
    <w:p w14:paraId="0A7A401E" w14:textId="6E8A58B0" w:rsidR="00306284" w:rsidRPr="00BE4EE4" w:rsidRDefault="00306284">
      <w:pPr>
        <w:spacing w:before="60" w:after="100"/>
        <w:jc w:val="both"/>
        <w:rPr>
          <w:rFonts w:ascii="Poppins" w:hAnsi="Poppins" w:cs="Poppins"/>
        </w:rPr>
      </w:pPr>
      <w:r w:rsidRPr="00BE4EE4">
        <w:rPr>
          <w:rFonts w:ascii="Poppins" w:eastAsia="Calibri" w:hAnsi="Poppins" w:cs="Poppins"/>
          <w:color w:val="1A1A1A"/>
        </w:rPr>
        <w:t>This section consolidates findings from the seven completed Task 2.2 analytical reports. Each report maps national youth policy participation tools and documents, analyses the legal and policy framework with specific attention to rural relevance and implementation gaps, and synthesises the findings from focus group discussions or stakeholder consultations regarding the effectiveness of existing tools. Together, these reports move the analysis from what exists on paper to how participation tools are experienced in practice by rural youth and the stakeholders who engage with them.</w:t>
      </w:r>
    </w:p>
    <w:p w14:paraId="622B37BE" w14:textId="77777777" w:rsidR="00F7034B" w:rsidRPr="00BE4EE4" w:rsidRDefault="00000000">
      <w:pPr>
        <w:pStyle w:val="Heading2"/>
        <w:keepNext/>
        <w:spacing w:before="280" w:after="80"/>
        <w:rPr>
          <w:rFonts w:ascii="Poppins" w:hAnsi="Poppins" w:cs="Poppins"/>
          <w:color w:val="B7C3A1"/>
        </w:rPr>
      </w:pPr>
      <w:bookmarkStart w:id="20" w:name="_Toc233200022"/>
      <w:r w:rsidRPr="00BE4EE4">
        <w:rPr>
          <w:rFonts w:ascii="Poppins" w:eastAsia="Calibri" w:hAnsi="Poppins" w:cs="Poppins"/>
          <w:color w:val="B7C3A1"/>
        </w:rPr>
        <w:t>3.1 Sub-Saharan African Countries</w:t>
      </w:r>
      <w:bookmarkEnd w:id="20"/>
    </w:p>
    <w:p w14:paraId="2F066C0F" w14:textId="77777777" w:rsidR="00F7034B" w:rsidRPr="00BE4EE4" w:rsidRDefault="00000000">
      <w:pPr>
        <w:pStyle w:val="Heading3"/>
        <w:keepNext/>
        <w:spacing w:before="200" w:after="60"/>
        <w:rPr>
          <w:rFonts w:ascii="Poppins" w:hAnsi="Poppins" w:cs="Poppins"/>
          <w:color w:val="2F6B3A"/>
        </w:rPr>
      </w:pPr>
      <w:bookmarkStart w:id="21" w:name="_Toc233200023"/>
      <w:r w:rsidRPr="00BE4EE4">
        <w:rPr>
          <w:rFonts w:ascii="Poppins" w:eastAsia="Calibri" w:hAnsi="Poppins" w:cs="Poppins"/>
          <w:color w:val="2F6B3A"/>
        </w:rPr>
        <w:t>3.1.1 Botswana</w:t>
      </w:r>
      <w:bookmarkEnd w:id="21"/>
    </w:p>
    <w:p w14:paraId="72DBD6CF"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Tool Mapping: Categories and Coverage</w:t>
      </w:r>
    </w:p>
    <w:p w14:paraId="76CCAE45"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Botswana Task 2.2 report is the methodologically most comprehensive in the SSA cluster, drawing on two structured multi-stakeholder Focus Group Discussions designed to capture diverse institutional perspectives: the first in Mogobane, involving a Member of Parliament, councillors, Village Development Committee leadership, a youth trainer, and a Youth Unlimited representative; the second in Tlokweng, involving traditional and community leadership, district administration, Youth Programme Officers, Youth Parliament representatives, and a leader from Nkaikela Youth Group. This multi-perspective FGD design is a methodological </w:t>
      </w:r>
      <w:r w:rsidRPr="00BE4EE4">
        <w:rPr>
          <w:rFonts w:ascii="Poppins" w:eastAsia="Calibri" w:hAnsi="Poppins" w:cs="Poppins"/>
          <w:color w:val="1A1A1A"/>
          <w:lang w:val="en-BE"/>
        </w:rPr>
        <w:lastRenderedPageBreak/>
        <w:t>strength that enables the analysis to capture both formal institutional perspectives and community-level experiences of participation tool effectiveness in the same exercise.</w:t>
      </w:r>
    </w:p>
    <w:p w14:paraId="25467CA3"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tool mapping identifies five categories. National policy documents, including the Revised National Youth Policy of 2010 and the African Youth Charter, establish the normative framework and the rights basis for participation. National programme tools, including the Youth Development Fund and district youth officer structures, provide the administrative and financial delivery mechanisms that connect policy commitments to community-level action. Local governance tools, including Village Development Committees, ward meetings, and councillor interfaces, provide the sub-national participation venues closest to rural communities and most accessible in terms of travel distance. Customary governance venues, the Kgotla and community halls, provide the culturally embedded deliberation spaces with the greatest community legitimacy. Civil society and digital channels, including national organisations, social media platforms, and community radio, provide supplementary communication and mobilisation infrastructure. International standards, specifically the Commonwealth Parliamentary Association Youth Parliament Toolkit and the International IDEA Youth Parliamentary Academy toolkit, provide design benchmarks for structured parliamentary simulation formats relevant to RYP design.</w:t>
      </w:r>
    </w:p>
    <w:p w14:paraId="1C283E87"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Focus Group Evidence: Awareness, Accessibility, and Effectiveness</w:t>
      </w:r>
    </w:p>
    <w:p w14:paraId="4EF37531"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FGD findings from Mogobane and Tlokweng reveal consistent patterns regarding the awareness, accessibility, and effectiveness of the mapped tools. Awareness of formal participation tools is uneven, with significant gaps among youth in the most remote communities who lack access to consistent information channels. Many rural </w:t>
      </w:r>
      <w:proofErr w:type="gramStart"/>
      <w:r w:rsidRPr="00BE4EE4">
        <w:rPr>
          <w:rFonts w:ascii="Poppins" w:eastAsia="Calibri" w:hAnsi="Poppins" w:cs="Poppins"/>
          <w:color w:val="1A1A1A"/>
          <w:lang w:val="en-BE"/>
        </w:rPr>
        <w:t>youth</w:t>
      </w:r>
      <w:proofErr w:type="gramEnd"/>
      <w:r w:rsidRPr="00BE4EE4">
        <w:rPr>
          <w:rFonts w:ascii="Poppins" w:eastAsia="Calibri" w:hAnsi="Poppins" w:cs="Poppins"/>
          <w:color w:val="1A1A1A"/>
          <w:lang w:val="en-BE"/>
        </w:rPr>
        <w:t xml:space="preserve"> are unaware of the YDF, the Youth Parliament, and even </w:t>
      </w:r>
      <w:r w:rsidRPr="00BE4EE4">
        <w:rPr>
          <w:rFonts w:ascii="Poppins" w:eastAsia="Calibri" w:hAnsi="Poppins" w:cs="Poppins"/>
          <w:color w:val="1A1A1A"/>
          <w:lang w:val="en-BE"/>
        </w:rPr>
        <w:lastRenderedPageBreak/>
        <w:t xml:space="preserve">the formal consultation mechanisms attached to VDCs. Accessibility is constrained by a combination of weekday timing that conflicts with livelihood activities, the cultural distance of formal venues and proceedings from the everyday communication norms of rural youth, and the digital inequality that limits the reach of online participation platforms to youth with adequate connectivity. Effectiveness, the dimension that most directly shapes whether youth continue to engage, is judged by participants primarily through the lens of traceable influence: does participation produce a visible outcome? The consistent answer across both </w:t>
      </w:r>
      <w:proofErr w:type="spellStart"/>
      <w:r w:rsidRPr="00BE4EE4">
        <w:rPr>
          <w:rFonts w:ascii="Poppins" w:eastAsia="Calibri" w:hAnsi="Poppins" w:cs="Poppins"/>
          <w:color w:val="1A1A1A"/>
          <w:lang w:val="en-BE"/>
        </w:rPr>
        <w:t>FGDs</w:t>
      </w:r>
      <w:proofErr w:type="spellEnd"/>
      <w:r w:rsidRPr="00BE4EE4">
        <w:rPr>
          <w:rFonts w:ascii="Poppins" w:eastAsia="Calibri" w:hAnsi="Poppins" w:cs="Poppins"/>
          <w:color w:val="1A1A1A"/>
          <w:lang w:val="en-BE"/>
        </w:rPr>
        <w:t xml:space="preserve"> is that it does not, or at least that participants cannot point to documented instances where it has. The absence of traceable influence is the primary mechanism of disengagement.</w:t>
      </w:r>
    </w:p>
    <w:p w14:paraId="6CE3C2D2"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Recommendations Emerging from the Evidence</w:t>
      </w:r>
    </w:p>
    <w:p w14:paraId="09B518F6" w14:textId="35583E34" w:rsidR="004545D8" w:rsidRPr="00BE4EE4" w:rsidRDefault="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Task 2.2 report concludes with four evidence-grounded recommendations for the Botswana context. First, institutional response practices must be strengthened: authorities engaging with youth through Kgotla, VDC, and councillor processes should be required to provide feedback on what happened to youth inputs within a defined timeframe. Second, youth ownership of policy processes should be increased through the development of structured youth-led agenda-setting mechanisms that allow rural youth to determine the topics of participation meetings rather than responding to institutionally defined agendas. Third, participation formats should be diversified beyond formal meetings to include community radio dialogues, peer-facilitated discussions, and digital platforms accessible on low-bandwidth connections. Fourth, civic confidence should be built through structured leadership pathways that create recognised roles for youth in community governance before asking them to speak in elder-dominated formal assemblies.</w:t>
      </w:r>
    </w:p>
    <w:p w14:paraId="686AAAA1" w14:textId="77777777" w:rsidR="00F7034B" w:rsidRPr="00BE4EE4" w:rsidRDefault="00000000">
      <w:pPr>
        <w:pStyle w:val="Heading3"/>
        <w:keepNext/>
        <w:spacing w:before="200" w:after="60"/>
        <w:rPr>
          <w:rFonts w:ascii="Poppins" w:eastAsia="Calibri" w:hAnsi="Poppins" w:cs="Poppins"/>
          <w:color w:val="2F6B3A"/>
        </w:rPr>
      </w:pPr>
      <w:bookmarkStart w:id="22" w:name="_Toc233200024"/>
      <w:r w:rsidRPr="00BE4EE4">
        <w:rPr>
          <w:rFonts w:ascii="Poppins" w:eastAsia="Calibri" w:hAnsi="Poppins" w:cs="Poppins"/>
          <w:color w:val="2F6B3A"/>
        </w:rPr>
        <w:lastRenderedPageBreak/>
        <w:t>3.1.2 Madagascar</w:t>
      </w:r>
      <w:bookmarkEnd w:id="22"/>
    </w:p>
    <w:p w14:paraId="7F401298" w14:textId="77777777" w:rsidR="008806BF" w:rsidRPr="00BE4EE4" w:rsidRDefault="008806BF" w:rsidP="008806BF">
      <w:pPr>
        <w:jc w:val="both"/>
        <w:rPr>
          <w:rFonts w:ascii="Poppins" w:hAnsi="Poppins" w:cs="Poppins"/>
          <w:lang w:val="en-BE"/>
        </w:rPr>
      </w:pPr>
      <w:r w:rsidRPr="00BE4EE4">
        <w:rPr>
          <w:rFonts w:ascii="Poppins" w:hAnsi="Poppins" w:cs="Poppins"/>
          <w:b/>
          <w:bCs/>
          <w:lang w:val="en-BE"/>
        </w:rPr>
        <w:t>Tool Mapping and Methodological Approach</w:t>
      </w:r>
    </w:p>
    <w:p w14:paraId="58165B76" w14:textId="77777777" w:rsidR="008806BF" w:rsidRPr="00BE4EE4" w:rsidRDefault="008806BF" w:rsidP="008806BF">
      <w:pPr>
        <w:jc w:val="both"/>
        <w:rPr>
          <w:rFonts w:ascii="Poppins" w:hAnsi="Poppins" w:cs="Poppins"/>
          <w:lang w:val="en-BE"/>
        </w:rPr>
      </w:pPr>
      <w:r w:rsidRPr="00BE4EE4">
        <w:rPr>
          <w:rFonts w:ascii="Poppins" w:hAnsi="Poppins" w:cs="Poppins"/>
          <w:lang w:val="en-BE"/>
        </w:rPr>
        <w:t>The Madagascar Task 2.2 report draws on a series of focus group discussions conducted with young people living in rural areas across selected districts of Madagascar, complementing the stakeholder survey and interviews already documented in the Task 2.1 findings. Each focus group included between eight and twelve participants aged fifteen to thirty, with deliberate efforts to ensure diversity in terms of gender, educational background, and employment status. Sessions were facilitated by trained moderators using a structured discussion guide alongside interactive activity sheets including sticky notes and dot voting exercises. Data was collected through written notes, flipchart summaries, focus group templates, and digital Excel tools, ensuring systematic cross-session analysis.</w:t>
      </w:r>
    </w:p>
    <w:p w14:paraId="6CBF9CA6" w14:textId="77777777" w:rsidR="008806BF" w:rsidRPr="00BE4EE4" w:rsidRDefault="008806BF" w:rsidP="008806BF">
      <w:pPr>
        <w:jc w:val="both"/>
        <w:rPr>
          <w:rFonts w:ascii="Poppins" w:hAnsi="Poppins" w:cs="Poppins"/>
          <w:lang w:val="en-BE"/>
        </w:rPr>
      </w:pPr>
      <w:r w:rsidRPr="00BE4EE4">
        <w:rPr>
          <w:rFonts w:ascii="Poppins" w:hAnsi="Poppins" w:cs="Poppins"/>
          <w:b/>
          <w:bCs/>
          <w:lang w:val="en-BE"/>
        </w:rPr>
        <w:t>Key Themes and Findings</w:t>
      </w:r>
    </w:p>
    <w:p w14:paraId="0DE983E5" w14:textId="77777777" w:rsidR="008806BF" w:rsidRPr="00BE4EE4" w:rsidRDefault="008806BF" w:rsidP="008806BF">
      <w:pPr>
        <w:jc w:val="both"/>
        <w:rPr>
          <w:rFonts w:ascii="Poppins" w:hAnsi="Poppins" w:cs="Poppins"/>
          <w:lang w:val="en-BE"/>
        </w:rPr>
      </w:pPr>
      <w:r w:rsidRPr="00BE4EE4">
        <w:rPr>
          <w:rFonts w:ascii="Poppins" w:hAnsi="Poppins" w:cs="Poppins"/>
          <w:lang w:val="en-BE"/>
        </w:rPr>
        <w:t xml:space="preserve">The focus groups explored five interconnected theme areas. On education and skills development, participants consistently identified limited access to quality education, absence of vocational training opportunities, low digital literacy levels, and insufficient leadership skill development as primary constraints on their civic and economic futures. On employment and economic opportunities, the scarcity of rural jobs, financial constraints, and significant barriers to entrepreneurship and self-employment emerged as the dominant concerns, reinforcing the Task 2.1 finding that economic exclusion is a direct and structural barrier to civic participation, not merely a background condition. On youth participation and leadership, the discussions revealed limited involvement of young people in community decision-making, low awareness of existing youth programmes, and the absence of structured platforms for youth engagement as the three most consistently identified institutional gaps. On gender equality and social challenges, participants identified persistent inequalities between young men and women, early marriage, substance abuse, and migration as compounding social barriers </w:t>
      </w:r>
      <w:r w:rsidRPr="00BE4EE4">
        <w:rPr>
          <w:rFonts w:ascii="Poppins" w:hAnsi="Poppins" w:cs="Poppins"/>
          <w:lang w:val="en-BE"/>
        </w:rPr>
        <w:lastRenderedPageBreak/>
        <w:t>that reduce both the capacity and the opportunity for rural youth participation. On community development needs, participants expressed strong and consistent demand for infrastructure development, improved digital access, and greater institutional support for youth-led initiatives.</w:t>
      </w:r>
    </w:p>
    <w:p w14:paraId="7ADB55DB" w14:textId="77777777" w:rsidR="008806BF" w:rsidRPr="00BE4EE4" w:rsidRDefault="008806BF" w:rsidP="008806BF">
      <w:pPr>
        <w:jc w:val="both"/>
        <w:rPr>
          <w:rFonts w:ascii="Poppins" w:hAnsi="Poppins" w:cs="Poppins"/>
          <w:lang w:val="en-BE"/>
        </w:rPr>
      </w:pPr>
    </w:p>
    <w:p w14:paraId="527597C5" w14:textId="77777777" w:rsidR="008806BF" w:rsidRPr="00BE4EE4" w:rsidRDefault="008806BF" w:rsidP="008806BF">
      <w:pPr>
        <w:jc w:val="both"/>
        <w:rPr>
          <w:rFonts w:ascii="Poppins" w:hAnsi="Poppins" w:cs="Poppins"/>
          <w:lang w:val="en-BE"/>
        </w:rPr>
      </w:pPr>
      <w:r w:rsidRPr="00BE4EE4">
        <w:rPr>
          <w:rFonts w:ascii="Poppins" w:hAnsi="Poppins" w:cs="Poppins"/>
          <w:b/>
          <w:bCs/>
          <w:lang w:val="en-BE"/>
        </w:rPr>
        <w:t>The Critical Finding: Willingness Amid Adversity</w:t>
      </w:r>
    </w:p>
    <w:p w14:paraId="044C4786" w14:textId="77777777" w:rsidR="008806BF" w:rsidRPr="00BE4EE4" w:rsidRDefault="008806BF" w:rsidP="008806BF">
      <w:pPr>
        <w:jc w:val="both"/>
        <w:rPr>
          <w:rFonts w:ascii="Poppins" w:hAnsi="Poppins" w:cs="Poppins"/>
          <w:lang w:val="en-BE"/>
        </w:rPr>
      </w:pPr>
      <w:r w:rsidRPr="00BE4EE4">
        <w:rPr>
          <w:rFonts w:ascii="Poppins" w:hAnsi="Poppins" w:cs="Poppins"/>
          <w:lang w:val="en-BE"/>
        </w:rPr>
        <w:t>The most analytically significant finding from the Madagascar focus groups is the gap between the severity of the structural barriers documented and the strength of the civic motivation expressed. Despite facing multiple and interconnected challenges including limited education and training access, absent employment opportunities, and structural exclusion from decision-making, participants expressed a strong and consistent willingness to engage, contribute to their communities, and be part of meaningful change. This finding directly validates and deepens the Task 2.1 conclusion that the primary design challenge in Madagascar is not generating youth motivation but creating the economic, informational, and institutional conditions that allow that motivation to translate into sustained civic engagement.</w:t>
      </w:r>
    </w:p>
    <w:p w14:paraId="1DCEEAB5" w14:textId="77777777" w:rsidR="008806BF" w:rsidRPr="00BE4EE4" w:rsidRDefault="008806BF" w:rsidP="008806BF">
      <w:pPr>
        <w:jc w:val="both"/>
        <w:rPr>
          <w:rFonts w:ascii="Poppins" w:hAnsi="Poppins" w:cs="Poppins"/>
          <w:lang w:val="en-BE"/>
        </w:rPr>
      </w:pPr>
    </w:p>
    <w:p w14:paraId="7D6082D1" w14:textId="77777777" w:rsidR="008806BF" w:rsidRPr="00BE4EE4" w:rsidRDefault="008806BF" w:rsidP="008806BF">
      <w:pPr>
        <w:jc w:val="both"/>
        <w:rPr>
          <w:rFonts w:ascii="Poppins" w:hAnsi="Poppins" w:cs="Poppins"/>
          <w:lang w:val="en-BE"/>
        </w:rPr>
      </w:pPr>
      <w:r w:rsidRPr="00BE4EE4">
        <w:rPr>
          <w:rFonts w:ascii="Poppins" w:hAnsi="Poppins" w:cs="Poppins"/>
          <w:b/>
          <w:bCs/>
          <w:lang w:val="en-BE"/>
        </w:rPr>
        <w:t>Implications for RYP Design in Madagascar</w:t>
      </w:r>
    </w:p>
    <w:p w14:paraId="18E95124" w14:textId="51B1EAB5" w:rsidR="008806BF" w:rsidRPr="00BE4EE4" w:rsidRDefault="008806BF" w:rsidP="008806BF">
      <w:pPr>
        <w:jc w:val="both"/>
        <w:rPr>
          <w:rFonts w:ascii="Poppins" w:hAnsi="Poppins" w:cs="Poppins"/>
          <w:lang w:val="en-BE"/>
        </w:rPr>
      </w:pPr>
      <w:r w:rsidRPr="00BE4EE4">
        <w:rPr>
          <w:rFonts w:ascii="Poppins" w:hAnsi="Poppins" w:cs="Poppins"/>
          <w:lang w:val="en-BE"/>
        </w:rPr>
        <w:t xml:space="preserve">The focus group evidence generates four specific design priorities for the EMPOWER+ RYP in Madagascar. First, the RYP must explicitly address the education and skills dimension alongside the participation dimension: deliberation sessions should incorporate leadership skill development and digital literacy components, recognising that civic capacity and educational access are structurally connected in the Madagascar context. Second, the RYP agenda must connect directly to the economic realities of rural youth, including employment, entrepreneurship, land access, and vocational training, rather than treating civic participation as separate from livelihood concerns. Third, gender inclusion must be a constitutional design </w:t>
      </w:r>
      <w:r w:rsidRPr="00BE4EE4">
        <w:rPr>
          <w:rFonts w:ascii="Poppins" w:hAnsi="Poppins" w:cs="Poppins"/>
          <w:lang w:val="en-BE"/>
        </w:rPr>
        <w:lastRenderedPageBreak/>
        <w:t>requirement from inception: the focus groups confirm that young women face additional and compounding barriers including early marriage and social norms that require structural design responses, not voluntary inclusion commitments. Fourth, the RYP must be designed with community development as an explicit output orientation, responding to participants' strong demand for infrastructure support and institutional backing for youth-led initiatives and ensuring that RYP deliberations produce visible community actions that demonstrate consequential youth agency.</w:t>
      </w:r>
    </w:p>
    <w:p w14:paraId="099489C6" w14:textId="77777777" w:rsidR="00F7034B" w:rsidRPr="00BE4EE4" w:rsidRDefault="00000000">
      <w:pPr>
        <w:pStyle w:val="Heading3"/>
        <w:keepNext/>
        <w:spacing w:before="200" w:after="60"/>
        <w:rPr>
          <w:rFonts w:ascii="Poppins" w:hAnsi="Poppins" w:cs="Poppins"/>
          <w:color w:val="2F6B3A"/>
        </w:rPr>
      </w:pPr>
      <w:bookmarkStart w:id="23" w:name="_Toc233200025"/>
      <w:r w:rsidRPr="00BE4EE4">
        <w:rPr>
          <w:rFonts w:ascii="Poppins" w:eastAsia="Calibri" w:hAnsi="Poppins" w:cs="Poppins"/>
          <w:color w:val="2F6B3A"/>
        </w:rPr>
        <w:t>3.1.3 Mauritius</w:t>
      </w:r>
      <w:bookmarkEnd w:id="23"/>
    </w:p>
    <w:p w14:paraId="63F37139"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Tool Mapping and Framework Analysis</w:t>
      </w:r>
    </w:p>
    <w:p w14:paraId="0D4B942B"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Mauritius Task 2.2 report maps participation tools across five categories with a level of institutional detail that reflects the relative development of Mauritius's youth governance ecosystem. National policy instruments, principally the National Youth Policy of 2016 and the National Youth Development Programme, provide the strategic framework within which all other tools operate. Formal participation structures, including Regional Youth Councils in every district, the biennial Mauritius Youth Parliament, and district Youth Centres, provide the institutional architecture for structured youth engagement. Consultation platforms, including national Youth Forums and district-level consultation mechanisms, provide periodic collective voice opportunities. Community-level Youth Centres with internet access and government service interfaces provide physical infrastructure reducing some of the access barriers for rural youth. International frameworks, including the African Youth Charter and UN Youth Guidelines, provide the normative basis for rights-based participation approaches. Within this mapped landscape, the Youth Parliament is identified as the most decision-influencing mechanism, both because it produces formal submissions to national decision-makers and because </w:t>
      </w:r>
      <w:r w:rsidRPr="00BE4EE4">
        <w:rPr>
          <w:rFonts w:ascii="Poppins" w:eastAsia="Calibri" w:hAnsi="Poppins" w:cs="Poppins"/>
          <w:color w:val="1A1A1A"/>
          <w:lang w:val="en-BE"/>
        </w:rPr>
        <w:lastRenderedPageBreak/>
        <w:t>its biennial cycle creates predictable accountability moments that other structures lack.</w:t>
      </w:r>
    </w:p>
    <w:p w14:paraId="277FDDC9"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Focus Group Findings: The Urban-Rural Access Divide</w:t>
      </w:r>
    </w:p>
    <w:p w14:paraId="6F6C2948"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Focus groups conducted with twenty-five young people aged sixteen to twenty-nine from urban and rural districts, including Rodrigues, reveal a clear and consistent urban-rural access divide that the formal institutional architecture does not fully address. Rural participants report distance and transport costs as primary barriers of a qualitatively different kind than those facing urban participants: for rural youth in Rodrigues in particular, participation in mainland Mauritius activities requires inter-island travel that is financially and logistically prohibitive for most young people without institutional support. Lower awareness of participation opportunities is documented as a second significant barrier, with rural youth reporting that they learn about youth councils, forums, and parliament opportunities through informal networks that are denser in urban areas. Participation is characterised as "partially meaningful": youth can voice opinions and those opinions are formally received, but the causal connection between youth recommendations and visible governance outcomes is weak and rarely communicated back to participants. Bureaucratic hurdles and consultation topics that do not reflect local rural priorities are identified as the primary sources of disconnection between formal participation structures and the issues that matter most to rural youth.</w:t>
      </w:r>
    </w:p>
    <w:p w14:paraId="23789104"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Recommendations for the Mauritius RYP Design</w:t>
      </w:r>
    </w:p>
    <w:p w14:paraId="4C261892" w14:textId="0D888B4C" w:rsidR="004545D8" w:rsidRPr="00BE4EE4" w:rsidRDefault="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Mauritius Task 2.2 analysis generates four principal recommendations with direct relevance to the RYP design. First, the affiliation dependency that excludes independent rural youth from formal structures must be addressed by creating accessible non-affiliated participation pathways at district level. Second, the geographic and logistical barriers facing Rodrigues youth require specific design </w:t>
      </w:r>
      <w:r w:rsidRPr="00BE4EE4">
        <w:rPr>
          <w:rFonts w:ascii="Poppins" w:eastAsia="Calibri" w:hAnsi="Poppins" w:cs="Poppins"/>
          <w:color w:val="1A1A1A"/>
          <w:lang w:val="en-BE"/>
        </w:rPr>
        <w:lastRenderedPageBreak/>
        <w:t>responses including dedicated resource provisions for inter-island participation and the development of Rodrigues-based RYP activities that do not require mainland travel for routine engagement. Third, the feedback loop between RYP outputs and government responses must be formalised and publicised, addressing the "partially meaningful" perception that currently limits sustained engagement. Fourth, the content agenda of RYP deliberations should explicitly include rural livelihoods, agricultural development, land access, and rural employment, connecting the RYP to the issues of greatest practical urgency for rural youth rather than replicating the generic civic education focus of existing structures.</w:t>
      </w:r>
    </w:p>
    <w:p w14:paraId="0867CC4F" w14:textId="77777777" w:rsidR="00F7034B" w:rsidRPr="00BE4EE4" w:rsidRDefault="00000000">
      <w:pPr>
        <w:pStyle w:val="Heading3"/>
        <w:keepNext/>
        <w:spacing w:before="200" w:after="60"/>
        <w:rPr>
          <w:rFonts w:ascii="Poppins" w:hAnsi="Poppins" w:cs="Poppins"/>
          <w:color w:val="2F6B3A"/>
        </w:rPr>
      </w:pPr>
      <w:bookmarkStart w:id="24" w:name="_Toc233200026"/>
      <w:r w:rsidRPr="00BE4EE4">
        <w:rPr>
          <w:rFonts w:ascii="Poppins" w:eastAsia="Calibri" w:hAnsi="Poppins" w:cs="Poppins"/>
          <w:color w:val="2F6B3A"/>
        </w:rPr>
        <w:t>3.1.4 Nigeria</w:t>
      </w:r>
      <w:bookmarkEnd w:id="24"/>
    </w:p>
    <w:p w14:paraId="7354E68A"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Tool Mapping: Formal, Informal, and Hybrid Categories</w:t>
      </w:r>
    </w:p>
    <w:p w14:paraId="1B1D2410"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Nigeria's Task 2.2 contribution maps participation tools across three analytically distinct categories that mirror the formal, informal, and hybrid structure identified in the Task 2.1 analysis. Formal tools include the Nigeria Youth Parliament, the NYCN network, state youth parliaments, and the statutory consultation mechanisms associated with local government planning. The most promising formal tool identified is the Gombe State Youth Parliament, which has developed a tested model of structured youth deliberation with formal links to the state legislature and a documented track record of producing resolutions that reach official consideration. The Follow the Money accountability movement led by CODE, Connected Development, provides a model of youth-led budget transparency advocacy that has demonstrated measurable policy impact and represents a uniquely effective hybrid between civil society activism and formal governance engagement. Informal tools, including age-grade associations and the Sarkin Samari traditional youth leadership system, are rated by all respondents as the most accessible and most trusted participation mechanisms for rural youth. </w:t>
      </w:r>
      <w:r w:rsidRPr="00BE4EE4">
        <w:rPr>
          <w:rFonts w:ascii="Poppins" w:eastAsia="Calibri" w:hAnsi="Poppins" w:cs="Poppins"/>
          <w:color w:val="1A1A1A"/>
          <w:lang w:val="en-BE"/>
        </w:rPr>
        <w:lastRenderedPageBreak/>
        <w:t>UNICEF-supported Children's Parliaments provide an entry-level deliberation experience for younger participants that creates a pipeline toward more substantive youth parliament engagement.</w:t>
      </w:r>
    </w:p>
    <w:p w14:paraId="47FD2AE4"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Stakeholder Validation: The Perception Gap</w:t>
      </w:r>
    </w:p>
    <w:p w14:paraId="566345B1"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structured comparative interview design, engaging three respondents differentiated by institutional role and proximity to rural youth, produces the most analytically striking finding in the Task 2.2 SSA evidence base. The policymaker respondent reports that "several" opportunities for youth participation exist and that youth views are taken seriously "often," reflecting the perspective of an institutional actor who sees the formal architecture of state and NYCN structures as a functional participation system. The community leader and youth organisation representative both report that "only a few" opportunities exist and that views are taken seriously "sometimes," reflecting the perspective of actors embedded in the community-level reality where formal structures are distant, inaccessible, and often unresponsive. Youth comfort expressing views in formal settings is rated at two to three out of ten by the community-proximate respondents, a finding of particular significance given Nigeria's formally extensive youth participation architecture. The community leader's call for "legal backing for the Youth Parliament towards a more engaged performance" powerfully validates the institutional anchoring recommendation: the most important design intervention in the Nigerian context is not the creation of a new participation space but the legal and financial entrenchment of existing ones.</w:t>
      </w:r>
    </w:p>
    <w:p w14:paraId="3975817A"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Implications for RYP Design in Nigeria</w:t>
      </w:r>
    </w:p>
    <w:p w14:paraId="653580D6" w14:textId="0EC07CA0" w:rsidR="004545D8" w:rsidRPr="00BE4EE4" w:rsidRDefault="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Nigeria Task 2.2 analysis points to three specific design priorities for the EMPOWER+ RYP. First, the RYP must be anchored at LGA level with a formal council resolution and a dedicated budget line, however modest, establishing its institutional legitimacy within the local government system. Second, the RYP design </w:t>
      </w:r>
      <w:r w:rsidRPr="00BE4EE4">
        <w:rPr>
          <w:rFonts w:ascii="Poppins" w:eastAsia="Calibri" w:hAnsi="Poppins" w:cs="Poppins"/>
          <w:color w:val="1A1A1A"/>
          <w:lang w:val="en-BE"/>
        </w:rPr>
        <w:lastRenderedPageBreak/>
        <w:t>must actively incorporate age-grade association leadership and Sarkin Samari traditional youth chiefs as formal partners rather than treating them as external stakeholders, building on the community legitimacy these institutions already carry. Third, the Follow the Money methodology should be integrated as a capacity-building component within the RYP, equipping youth delegates with the budget literacy and accountability advocacy skills to track whether LGA budget allocations relevant to rural youth are being implemented as committed.</w:t>
      </w:r>
    </w:p>
    <w:p w14:paraId="0BD31B14" w14:textId="77777777" w:rsidR="00F7034B" w:rsidRPr="00BE4EE4" w:rsidRDefault="00000000">
      <w:pPr>
        <w:pStyle w:val="Heading2"/>
        <w:keepNext/>
        <w:spacing w:before="280" w:after="80"/>
        <w:rPr>
          <w:rFonts w:ascii="Poppins" w:hAnsi="Poppins" w:cs="Poppins"/>
          <w:color w:val="B7C3A1"/>
        </w:rPr>
      </w:pPr>
      <w:bookmarkStart w:id="25" w:name="_Toc233200027"/>
      <w:r w:rsidRPr="00BE4EE4">
        <w:rPr>
          <w:rFonts w:ascii="Poppins" w:eastAsia="Calibri" w:hAnsi="Poppins" w:cs="Poppins"/>
          <w:color w:val="B7C3A1"/>
        </w:rPr>
        <w:t>3.2 European Partner Countries</w:t>
      </w:r>
      <w:bookmarkEnd w:id="25"/>
    </w:p>
    <w:p w14:paraId="3CC282F1" w14:textId="77777777" w:rsidR="00F7034B" w:rsidRPr="00BE4EE4" w:rsidRDefault="00000000">
      <w:pPr>
        <w:pStyle w:val="Heading3"/>
        <w:keepNext/>
        <w:spacing w:before="200" w:after="60"/>
        <w:rPr>
          <w:rFonts w:ascii="Poppins" w:hAnsi="Poppins" w:cs="Poppins"/>
          <w:color w:val="2F6B3A"/>
        </w:rPr>
      </w:pPr>
      <w:bookmarkStart w:id="26" w:name="_Toc233200028"/>
      <w:r w:rsidRPr="00BE4EE4">
        <w:rPr>
          <w:rFonts w:ascii="Poppins" w:eastAsia="Calibri" w:hAnsi="Poppins" w:cs="Poppins"/>
          <w:color w:val="2F6B3A"/>
        </w:rPr>
        <w:t>3.2.1 Greece</w:t>
      </w:r>
      <w:bookmarkEnd w:id="26"/>
    </w:p>
    <w:p w14:paraId="558046A9"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Tool Mapping and Policy Landscape</w:t>
      </w:r>
    </w:p>
    <w:p w14:paraId="352395EA"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Greece's Task 2.2 report maps participation tools across four categories with analytical depth appropriate to its role as a reference country in the European cluster. Institutional mechanisms, including Municipal Youth Councils, the Hellenic National Youth Council, and the Greek Parliament Youth Programme, provide the formal governance architecture for youth participation at municipal, national, and legislative levels. National policy strategies, including the National Youth Empowerment Strategy "Youth 17-27" and the Strategic Plan for Vocational Education and Training 2022-2024, provide the policy framework within which institutional mechanisms operate. European frameworks, including the EU Youth Strategy and the EU Youth Dialogue process, provide the normative basis and co-funding instruments that sustain much of the youth participation programming in Greece. Public consultation mechanisms at national level, including the open consultation platform and parliamentary hearings, provide additional formal channels that organised youth groups can access.</w:t>
      </w:r>
    </w:p>
    <w:p w14:paraId="313B07A7"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Analysis of Implementation Gaps</w:t>
      </w:r>
    </w:p>
    <w:p w14:paraId="40A15CBF"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lastRenderedPageBreak/>
        <w:t xml:space="preserve">The analysis identifies a consistent pattern between formal institutional provision and practical implementation that echoes the de jure versus de facto distinction central to this synthesis. Municipal Youth Councils exist as a legal instrument and operate effectively in </w:t>
      </w:r>
      <w:proofErr w:type="gramStart"/>
      <w:r w:rsidRPr="00BE4EE4">
        <w:rPr>
          <w:rFonts w:ascii="Poppins" w:eastAsia="Calibri" w:hAnsi="Poppins" w:cs="Poppins"/>
          <w:color w:val="1A1A1A"/>
          <w:lang w:val="en-BE"/>
        </w:rPr>
        <w:t>a number of</w:t>
      </w:r>
      <w:proofErr w:type="gramEnd"/>
      <w:r w:rsidRPr="00BE4EE4">
        <w:rPr>
          <w:rFonts w:ascii="Poppins" w:eastAsia="Calibri" w:hAnsi="Poppins" w:cs="Poppins"/>
          <w:color w:val="1A1A1A"/>
          <w:lang w:val="en-BE"/>
        </w:rPr>
        <w:t xml:space="preserve"> municipalities, but their establishment is not </w:t>
      </w:r>
      <w:proofErr w:type="gramStart"/>
      <w:r w:rsidRPr="00BE4EE4">
        <w:rPr>
          <w:rFonts w:ascii="Poppins" w:eastAsia="Calibri" w:hAnsi="Poppins" w:cs="Poppins"/>
          <w:color w:val="1A1A1A"/>
          <w:lang w:val="en-BE"/>
        </w:rPr>
        <w:t>mandatory</w:t>
      </w:r>
      <w:proofErr w:type="gramEnd"/>
      <w:r w:rsidRPr="00BE4EE4">
        <w:rPr>
          <w:rFonts w:ascii="Poppins" w:eastAsia="Calibri" w:hAnsi="Poppins" w:cs="Poppins"/>
          <w:color w:val="1A1A1A"/>
          <w:lang w:val="en-BE"/>
        </w:rPr>
        <w:t xml:space="preserve"> and their functioning varies enormously across the country. Rural municipalities, facing greater resource constraints and lower civil society density, are significantly less likely to have established a functioning youth council and significantly less likely to have it integrated into municipal decision-making processes in a meaningful way. The dependency on EU project funding creates a cyclical pattern of engagement that undermines the continuity required for genuine participatory institution-building: youth councils and participation programmes are energised during project periods and contract when funding ends. This pattern, extensively documented in the Greek context, is a direct warning for SSA RYP design about the risks of project-dependent participation infrastructure.</w:t>
      </w:r>
    </w:p>
    <w:p w14:paraId="096FE561"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Transferability: Lessons from the Larissa Model</w:t>
      </w:r>
    </w:p>
    <w:p w14:paraId="1ECC2F5E" w14:textId="633CE8C8" w:rsidR="004545D8" w:rsidRPr="00BE4EE4" w:rsidRDefault="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Municipal Youth Council of Larissa represents the most thoroughly documented best practice in the Greek report and offers the most directly applicable design lessons for the institutional dimension of RYP development. Its effectiveness rests on three features: it holds regular meetings with defined thematic working groups that create sustained engagement on specific policy domains rather than generic youth consultation; it has developed working relationships with specific municipal departments that give its outputs a defined administrative pathway; and its membership is large enough to represent diverse youth perspectives while small enough to deliberate effectively. These three features, thematic focus, institutional pathway, and appropriate scale, constitute a </w:t>
      </w:r>
      <w:r w:rsidRPr="00BE4EE4">
        <w:rPr>
          <w:rFonts w:ascii="Poppins" w:eastAsia="Calibri" w:hAnsi="Poppins" w:cs="Poppins"/>
          <w:color w:val="1A1A1A"/>
          <w:lang w:val="en-BE"/>
        </w:rPr>
        <w:lastRenderedPageBreak/>
        <w:t>design template applicable to the SSA RYP context with appropriate adaptation for governance structures and cultural norms.</w:t>
      </w:r>
    </w:p>
    <w:p w14:paraId="0B7E4F4F" w14:textId="77777777" w:rsidR="00F7034B" w:rsidRPr="00BE4EE4" w:rsidRDefault="00000000">
      <w:pPr>
        <w:pStyle w:val="Heading3"/>
        <w:keepNext/>
        <w:spacing w:before="200" w:after="60"/>
        <w:rPr>
          <w:rFonts w:ascii="Poppins" w:hAnsi="Poppins" w:cs="Poppins"/>
          <w:color w:val="2F6B3A"/>
        </w:rPr>
      </w:pPr>
      <w:bookmarkStart w:id="27" w:name="_Toc233200029"/>
      <w:r w:rsidRPr="00BE4EE4">
        <w:rPr>
          <w:rFonts w:ascii="Poppins" w:eastAsia="Calibri" w:hAnsi="Poppins" w:cs="Poppins"/>
          <w:color w:val="2F6B3A"/>
        </w:rPr>
        <w:t>3.2.2 Italy</w:t>
      </w:r>
      <w:bookmarkEnd w:id="27"/>
    </w:p>
    <w:p w14:paraId="7C3BA17F"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Tool Mapping Across Governance Levels</w:t>
      </w:r>
    </w:p>
    <w:p w14:paraId="16AF7B14"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Italy's Task 2.2 report provides the most multi-level tool mapping in the European cluster, documenting participation tools at national, regional, local, and non-formal levels with attention to the institutional relationships and resource flows that connect them. At national level, the Consiglio Nazionale </w:t>
      </w:r>
      <w:proofErr w:type="spellStart"/>
      <w:r w:rsidRPr="00BE4EE4">
        <w:rPr>
          <w:rFonts w:ascii="Poppins" w:eastAsia="Calibri" w:hAnsi="Poppins" w:cs="Poppins"/>
          <w:color w:val="1A1A1A"/>
          <w:lang w:val="en-BE"/>
        </w:rPr>
        <w:t>dei</w:t>
      </w:r>
      <w:proofErr w:type="spellEnd"/>
      <w:r w:rsidRPr="00BE4EE4">
        <w:rPr>
          <w:rFonts w:ascii="Poppins" w:eastAsia="Calibri" w:hAnsi="Poppins" w:cs="Poppins"/>
          <w:color w:val="1A1A1A"/>
          <w:lang w:val="en-BE"/>
        </w:rPr>
        <w:t xml:space="preserve"> Giovani and the National Youth Strategy provide the framework. At regional level, Regional Youth Councils and youth forums provide an intermediate tier that is more accessible than national structures but still significantly concentrated in regional capitals. At local level, Municipal Youth Councils and participatory forums provide the most proximate formal structures, though their implementation in rural and inner area municipalities is, as documented in the Task 2.1 analysis, highly uneven. At non-formal level, youth organisations, community labs, YEPP Local Support Groups, and Erasmus+ Youth Participation Activities provide the most accessible and most trusted participation infrastructure for rural youth who are not connected to formal institutional networks.</w:t>
      </w:r>
    </w:p>
    <w:p w14:paraId="65115E25" w14:textId="53DB44D6" w:rsidR="004545D8" w:rsidRPr="00BE4EE4" w:rsidRDefault="005D33F1" w:rsidP="004545D8">
      <w:pPr>
        <w:spacing w:before="60" w:after="100"/>
        <w:jc w:val="both"/>
        <w:rPr>
          <w:rFonts w:ascii="Poppins" w:eastAsia="Calibri" w:hAnsi="Poppins" w:cs="Poppins"/>
          <w:b/>
          <w:bCs/>
          <w:color w:val="1A1A1A"/>
          <w:sz w:val="24"/>
          <w:szCs w:val="24"/>
          <w:lang w:val="en-BE"/>
        </w:rPr>
      </w:pPr>
      <w:r>
        <w:rPr>
          <w:rFonts w:ascii="Poppins" w:eastAsia="Calibri" w:hAnsi="Poppins" w:cs="Poppins"/>
          <w:b/>
          <w:bCs/>
          <w:i/>
          <w:iCs/>
          <w:color w:val="1A1A1A"/>
          <w:sz w:val="24"/>
          <w:szCs w:val="24"/>
          <w:lang w:val="en-BE"/>
        </w:rPr>
        <w:t>Key</w:t>
      </w:r>
      <w:r w:rsidR="004545D8" w:rsidRPr="00BE4EE4">
        <w:rPr>
          <w:rFonts w:ascii="Poppins" w:eastAsia="Calibri" w:hAnsi="Poppins" w:cs="Poppins"/>
          <w:b/>
          <w:bCs/>
          <w:i/>
          <w:iCs/>
          <w:color w:val="1A1A1A"/>
          <w:sz w:val="24"/>
          <w:szCs w:val="24"/>
          <w:lang w:val="en-BE"/>
        </w:rPr>
        <w:t xml:space="preserve"> Findings: Access, Exclusion, and Trust</w:t>
      </w:r>
    </w:p>
    <w:p w14:paraId="66558DE7" w14:textId="76F3373A" w:rsidR="004545D8" w:rsidRPr="00BE4EE4" w:rsidRDefault="000C6D2B" w:rsidP="004545D8">
      <w:pPr>
        <w:spacing w:before="60" w:after="100"/>
        <w:jc w:val="both"/>
        <w:rPr>
          <w:rFonts w:ascii="Poppins" w:eastAsia="Calibri" w:hAnsi="Poppins" w:cs="Poppins"/>
          <w:color w:val="1A1A1A"/>
          <w:lang w:val="en-BE"/>
        </w:rPr>
      </w:pPr>
      <w:r>
        <w:rPr>
          <w:rFonts w:ascii="Poppins" w:eastAsia="Calibri" w:hAnsi="Poppins" w:cs="Poppins"/>
          <w:color w:val="1A1A1A"/>
          <w:lang w:val="en-BE"/>
        </w:rPr>
        <w:t>The Italian Task 2.2 analysis, drawing on documentary and policy review of national, regional, local and non-formal participation tools, reveals three interconnected findings of direct relevance to the EMPOWER+ design process.</w:t>
      </w:r>
      <w:r w:rsidR="004545D8" w:rsidRPr="00BE4EE4">
        <w:rPr>
          <w:rFonts w:ascii="Poppins" w:eastAsia="Calibri" w:hAnsi="Poppins" w:cs="Poppins"/>
          <w:color w:val="1A1A1A"/>
          <w:lang w:val="en-BE"/>
        </w:rPr>
        <w:t xml:space="preserve"> First, access to formal participation is often mediated by organisational membership or personal connections, creating a structural exclusion of unaffiliated rural youth who lack the social capital to navigate formal institutional entry points. This finding mirrors the affiliation dependency documented in the Mauritius context and points toward a </w:t>
      </w:r>
      <w:r w:rsidR="004545D8" w:rsidRPr="00BE4EE4">
        <w:rPr>
          <w:rFonts w:ascii="Poppins" w:eastAsia="Calibri" w:hAnsi="Poppins" w:cs="Poppins"/>
          <w:color w:val="1A1A1A"/>
          <w:lang w:val="en-BE"/>
        </w:rPr>
        <w:lastRenderedPageBreak/>
        <w:t>cross-cutting design principle: RYP entry pathways must be genuinely open and actively publicised rather than dependent on existing organisational networks. Second, non-formal and project-based tools are consistently perceived as more accessible and more responsive than formal mechanisms, reflecting the capacity of civil society-led approaches to adapt to community realities in ways that formal government structures cannot. Third, weak accountability processes and the absence of meaningful decision-making power are identified as the primary factors reducing trust in and sustained engagement with formal participation structures, with young people describing a pattern of being consulted repeatedly without being able to point to any outcome that resulted from their engagement.</w:t>
      </w:r>
    </w:p>
    <w:p w14:paraId="7B31B64C"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Implications for the EMPOWER+ Design</w:t>
      </w:r>
    </w:p>
    <w:p w14:paraId="48D670D7" w14:textId="54FC310A" w:rsidR="004545D8" w:rsidRPr="00BE4EE4" w:rsidRDefault="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Italian evidence generates two specific design implications. First, the YEPP Local Support Group model should be adapted as the primary non-formal infrastructure supporting each SSA RYP, providing the relational and resource-provision functions that make the formal parliamentary deliberation accessible to the most marginalised rural youth. Second, the documented experience of consultation fatigue among Italian youth reinforces the recommendation that every RYP activity must produce a visible, communicated outcome within the cycle in which it takes place, building the evidence base that demonstrates to participants that engagement produces consequential results.</w:t>
      </w:r>
    </w:p>
    <w:p w14:paraId="4E2122B8" w14:textId="77777777" w:rsidR="00F7034B" w:rsidRPr="00BE4EE4" w:rsidRDefault="00000000">
      <w:pPr>
        <w:pStyle w:val="Heading3"/>
        <w:keepNext/>
        <w:spacing w:before="200" w:after="60"/>
        <w:rPr>
          <w:rFonts w:ascii="Poppins" w:hAnsi="Poppins" w:cs="Poppins"/>
          <w:color w:val="2F6B3A"/>
        </w:rPr>
      </w:pPr>
      <w:bookmarkStart w:id="28" w:name="_Toc233200030"/>
      <w:r w:rsidRPr="00BE4EE4">
        <w:rPr>
          <w:rFonts w:ascii="Poppins" w:eastAsia="Calibri" w:hAnsi="Poppins" w:cs="Poppins"/>
          <w:color w:val="2F6B3A"/>
        </w:rPr>
        <w:t>3.2.3 Romania</w:t>
      </w:r>
      <w:bookmarkEnd w:id="28"/>
    </w:p>
    <w:p w14:paraId="3A2B9BEB"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Multi-Level Governance Mapping</w:t>
      </w:r>
    </w:p>
    <w:p w14:paraId="3609586B"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Romania's Task 2.2 report provides the most analytically detailed governance mapping in the European cluster and the most directly actionable evidence for EMPOWER+ RYP design. The mapping documents tools at three governance levels. At local level, Law 52/2003 on public transparency and consultation provides the </w:t>
      </w:r>
      <w:r w:rsidRPr="00BE4EE4">
        <w:rPr>
          <w:rFonts w:ascii="Poppins" w:eastAsia="Calibri" w:hAnsi="Poppins" w:cs="Poppins"/>
          <w:color w:val="1A1A1A"/>
          <w:lang w:val="en-BE"/>
        </w:rPr>
        <w:lastRenderedPageBreak/>
        <w:t xml:space="preserve">legal basis for youth engagement in local decision-making, while the Youth Law 350/2006 establishes the normative framework for youth participation rights. The LEADER governance structure through the LAG provides a participatory rural development mechanism that has been adapted to support the RYP model in the LAG Napoca Porolissum territory, and the RYP itself is documented as the most significant participation innovation at this level. At county level, Cluj County Council youth funding provides a public financing mechanism, while the </w:t>
      </w:r>
      <w:proofErr w:type="spellStart"/>
      <w:r w:rsidRPr="00BE4EE4">
        <w:rPr>
          <w:rFonts w:ascii="Poppins" w:eastAsia="Calibri" w:hAnsi="Poppins" w:cs="Poppins"/>
          <w:color w:val="1A1A1A"/>
          <w:lang w:val="en-BE"/>
        </w:rPr>
        <w:t>Federatia</w:t>
      </w:r>
      <w:proofErr w:type="spellEnd"/>
      <w:r w:rsidRPr="00BE4EE4">
        <w:rPr>
          <w:rFonts w:ascii="Poppins" w:eastAsia="Calibri" w:hAnsi="Poppins" w:cs="Poppins"/>
          <w:color w:val="1A1A1A"/>
          <w:lang w:val="en-BE"/>
        </w:rPr>
        <w:t xml:space="preserve"> </w:t>
      </w:r>
      <w:proofErr w:type="spellStart"/>
      <w:r w:rsidRPr="00BE4EE4">
        <w:rPr>
          <w:rFonts w:ascii="Poppins" w:eastAsia="Calibri" w:hAnsi="Poppins" w:cs="Poppins"/>
          <w:color w:val="1A1A1A"/>
          <w:lang w:val="en-BE"/>
        </w:rPr>
        <w:t>Tinerilor</w:t>
      </w:r>
      <w:proofErr w:type="spellEnd"/>
      <w:r w:rsidRPr="00BE4EE4">
        <w:rPr>
          <w:rFonts w:ascii="Poppins" w:eastAsia="Calibri" w:hAnsi="Poppins" w:cs="Poppins"/>
          <w:color w:val="1A1A1A"/>
          <w:lang w:val="en-BE"/>
        </w:rPr>
        <w:t xml:space="preserve"> din Cluj NGO federation provides civil society mediation capacity connecting youth groups to county governance processes. At national level, the National Youth Strategy 2024-2027 provides the policy framework, while digital consultation platforms E-</w:t>
      </w:r>
      <w:proofErr w:type="spellStart"/>
      <w:r w:rsidRPr="00BE4EE4">
        <w:rPr>
          <w:rFonts w:ascii="Poppins" w:eastAsia="Calibri" w:hAnsi="Poppins" w:cs="Poppins"/>
          <w:color w:val="1A1A1A"/>
          <w:lang w:val="en-BE"/>
        </w:rPr>
        <w:t>Consultare</w:t>
      </w:r>
      <w:proofErr w:type="spellEnd"/>
      <w:r w:rsidRPr="00BE4EE4">
        <w:rPr>
          <w:rFonts w:ascii="Poppins" w:eastAsia="Calibri" w:hAnsi="Poppins" w:cs="Poppins"/>
          <w:color w:val="1A1A1A"/>
          <w:lang w:val="en-BE"/>
        </w:rPr>
        <w:t xml:space="preserve"> and CONECT.GOV.RO provide formal channels for youth policy input.</w:t>
      </w:r>
    </w:p>
    <w:p w14:paraId="1F91D6BE"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The RYP as Participation Infrastructure: Evidence of Effectiveness</w:t>
      </w:r>
    </w:p>
    <w:p w14:paraId="38E7F0A5"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Task 2.2 analysis documents the LAG-based RYP model as "participation infrastructure" in a theoretically precise sense: it is not a one-off event or a project-period activity but a structured system that builds deliberation skills, aggregates community needs across administrative boundaries, and creates a sustained mediated dialogue between rural youth and local decision-makers. The evidence of effectiveness includes documented community actions arising from RYP deliberations, including environmental campaigns with measurable community participation rates, cultural events that have created new intergenerational dialogue forums, and local project proposals that have been incorporated into LAG territorial strategy. The facilitation guide developed through iterative testing across multiple implementation cycles is the most practically useful single resource the European cluster contributes to EMPOWER+ SSA design, encoding the methodological learning from years of practice in a format directly adaptable for different cultural and governance contexts.</w:t>
      </w:r>
    </w:p>
    <w:p w14:paraId="3507B791" w14:textId="77777777" w:rsidR="004545D8" w:rsidRPr="00BE4EE4" w:rsidRDefault="004545D8" w:rsidP="004545D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lastRenderedPageBreak/>
        <w:t>Gaps and Sustainability Challenges</w:t>
      </w:r>
    </w:p>
    <w:p w14:paraId="041A166A" w14:textId="77777777" w:rsidR="004545D8" w:rsidRPr="00BE4EE4" w:rsidRDefault="004545D8" w:rsidP="004545D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Task 2.2 analysis identifies three gaps with direct implications for SSA adaptation. Rural mediation capacity remains limited in the most dispersed and remote communes of the LAG territory, where the absence of trained local facilitators creates a persistent barrier to reaching youth who are furthest from the LAG administrative centre. The geographic and transport barriers that characterise mountain territory require explicit resource provisions, including transport support for RYP delegates, that are built into the operational budget rather than treated as exceptional costs. The institutional transition following the establishment of Youth and Family County Directions under Government Decision 197/2022 has created some uncertainty in the county-level institutional landscape that affects the </w:t>
      </w:r>
      <w:proofErr w:type="spellStart"/>
      <w:r w:rsidRPr="00BE4EE4">
        <w:rPr>
          <w:rFonts w:ascii="Poppins" w:eastAsia="Calibri" w:hAnsi="Poppins" w:cs="Poppins"/>
          <w:color w:val="1A1A1A"/>
          <w:lang w:val="en-BE"/>
        </w:rPr>
        <w:t>RYP's</w:t>
      </w:r>
      <w:proofErr w:type="spellEnd"/>
      <w:r w:rsidRPr="00BE4EE4">
        <w:rPr>
          <w:rFonts w:ascii="Poppins" w:eastAsia="Calibri" w:hAnsi="Poppins" w:cs="Poppins"/>
          <w:color w:val="1A1A1A"/>
          <w:lang w:val="en-BE"/>
        </w:rPr>
        <w:t xml:space="preserve"> ability to connect its outputs to county-level governance processes. These gaps, and the strategies developed within the Romanian partnership to address them, are directly transferable as design lessons for SSA RYP implementation, where analogous challenges of geographic dispersion, resource constraint, and institutional instability will be encountered in more acute forms.</w:t>
      </w:r>
    </w:p>
    <w:p w14:paraId="37560CFB" w14:textId="77777777" w:rsidR="004545D8" w:rsidRPr="00BE4EE4" w:rsidRDefault="004545D8">
      <w:pPr>
        <w:spacing w:before="60" w:after="100"/>
        <w:jc w:val="both"/>
        <w:rPr>
          <w:rFonts w:ascii="Poppins" w:hAnsi="Poppins" w:cs="Poppins"/>
          <w:lang w:val="en-BE"/>
        </w:rPr>
      </w:pPr>
    </w:p>
    <w:p w14:paraId="253E1646" w14:textId="77777777" w:rsidR="00F7034B" w:rsidRPr="00BE4EE4" w:rsidRDefault="00000000">
      <w:pPr>
        <w:rPr>
          <w:rFonts w:ascii="Poppins" w:hAnsi="Poppins" w:cs="Poppins"/>
        </w:rPr>
      </w:pPr>
      <w:r w:rsidRPr="00BE4EE4">
        <w:rPr>
          <w:rFonts w:ascii="Poppins" w:hAnsi="Poppins" w:cs="Poppins"/>
        </w:rPr>
        <w:br w:type="page"/>
      </w:r>
    </w:p>
    <w:p w14:paraId="59E942C3" w14:textId="77777777" w:rsidR="00F7034B" w:rsidRPr="00BE4EE4" w:rsidRDefault="00000000">
      <w:pPr>
        <w:pStyle w:val="Heading1"/>
        <w:keepNext/>
        <w:spacing w:before="360" w:after="120"/>
        <w:rPr>
          <w:rFonts w:ascii="Poppins" w:hAnsi="Poppins" w:cs="Poppins"/>
          <w:color w:val="2F6B3A"/>
        </w:rPr>
      </w:pPr>
      <w:bookmarkStart w:id="29" w:name="_Toc233200031"/>
      <w:r w:rsidRPr="00BE4EE4">
        <w:rPr>
          <w:rFonts w:ascii="Poppins" w:eastAsia="Calibri" w:hAnsi="Poppins" w:cs="Poppins"/>
          <w:color w:val="2F6B3A"/>
        </w:rPr>
        <w:lastRenderedPageBreak/>
        <w:t>4. Comparative Analysis: Cross-Country Patterns and Transferable Insights</w:t>
      </w:r>
      <w:bookmarkEnd w:id="29"/>
    </w:p>
    <w:p w14:paraId="64B309AE"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This section presents comparative analysis at three levels: a seven-country cross-comparison on the four analytical dimensions; an in-group analysis of the SSA partner countries; and an in-group analysis of the European partner countries, concluding with a synthesis of insights for European-to-SSA knowledge transfer.</w:t>
      </w:r>
    </w:p>
    <w:p w14:paraId="4387460E" w14:textId="77777777" w:rsidR="00F7034B" w:rsidRPr="00BE4EE4" w:rsidRDefault="00000000">
      <w:pPr>
        <w:pStyle w:val="Heading2"/>
        <w:keepNext/>
        <w:spacing w:before="280" w:after="80"/>
        <w:rPr>
          <w:rFonts w:ascii="Poppins" w:hAnsi="Poppins" w:cs="Poppins"/>
          <w:color w:val="B7C3A1"/>
        </w:rPr>
      </w:pPr>
      <w:bookmarkStart w:id="30" w:name="_Toc233200032"/>
      <w:r w:rsidRPr="00BE4EE4">
        <w:rPr>
          <w:rFonts w:ascii="Poppins" w:eastAsia="Calibri" w:hAnsi="Poppins" w:cs="Poppins"/>
          <w:color w:val="B7C3A1"/>
        </w:rPr>
        <w:t>4.1 Cross-Country Comparison</w:t>
      </w:r>
      <w:bookmarkEnd w:id="30"/>
    </w:p>
    <w:p w14:paraId="37976BDE" w14:textId="77777777" w:rsidR="00F7034B" w:rsidRPr="00BE4EE4" w:rsidRDefault="00000000">
      <w:pPr>
        <w:pStyle w:val="Heading3"/>
        <w:keepNext/>
        <w:spacing w:before="200" w:after="60"/>
        <w:rPr>
          <w:rFonts w:ascii="Poppins" w:hAnsi="Poppins" w:cs="Poppins"/>
          <w:color w:val="2F6B3A"/>
        </w:rPr>
      </w:pPr>
      <w:bookmarkStart w:id="31" w:name="_Toc233200033"/>
      <w:r w:rsidRPr="00BE4EE4">
        <w:rPr>
          <w:rFonts w:ascii="Poppins" w:eastAsia="Calibri" w:hAnsi="Poppins" w:cs="Poppins"/>
          <w:color w:val="2F6B3A"/>
        </w:rPr>
        <w:t>4.1.1 Availability and Accessibility of Resources</w:t>
      </w:r>
      <w:bookmarkEnd w:id="31"/>
    </w:p>
    <w:p w14:paraId="4711E2E3"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A consistent pattern emerges across all seven countries: the most accessible participation resources for rural youth are community-based rather than state-created. The Kgotla in Botswana, age-grade associations in Nigeria, scouting groups in Madagascar, YUVA networks in Mauritius, YEPP Local Support Groups in Italy, the LAG-based RYP in Romania, and community initiatives in Greece are the tools that rural youth </w:t>
      </w:r>
      <w:proofErr w:type="gramStart"/>
      <w:r w:rsidRPr="00BE4EE4">
        <w:rPr>
          <w:rFonts w:ascii="Poppins" w:eastAsia="Calibri" w:hAnsi="Poppins" w:cs="Poppins"/>
          <w:color w:val="1A1A1A"/>
        </w:rPr>
        <w:t>actually use</w:t>
      </w:r>
      <w:proofErr w:type="gramEnd"/>
      <w:r w:rsidRPr="00BE4EE4">
        <w:rPr>
          <w:rFonts w:ascii="Poppins" w:eastAsia="Calibri" w:hAnsi="Poppins" w:cs="Poppins"/>
          <w:color w:val="1A1A1A"/>
        </w:rPr>
        <w:t xml:space="preserve"> and trust. This cross-country convergence has a direct design implication: effective Rural Youth Parliaments must build on the trust and legitimacy of existing community structures, not be superimposed upon them as externally designed formal institutions.</w:t>
      </w:r>
    </w:p>
    <w:p w14:paraId="143A03FF" w14:textId="77777777" w:rsidR="00F7034B" w:rsidRPr="00BE4EE4" w:rsidRDefault="00000000">
      <w:pPr>
        <w:pStyle w:val="Heading3"/>
        <w:keepNext/>
        <w:spacing w:before="200" w:after="60"/>
        <w:rPr>
          <w:rFonts w:ascii="Poppins" w:hAnsi="Poppins" w:cs="Poppins"/>
          <w:color w:val="2F6B3A"/>
        </w:rPr>
      </w:pPr>
      <w:bookmarkStart w:id="32" w:name="_Toc233200034"/>
      <w:r w:rsidRPr="00BE4EE4">
        <w:rPr>
          <w:rFonts w:ascii="Poppins" w:eastAsia="Calibri" w:hAnsi="Poppins" w:cs="Poppins"/>
          <w:color w:val="2F6B3A"/>
        </w:rPr>
        <w:lastRenderedPageBreak/>
        <w:t>4.1.2 Legal and Policy Frameworks: Permissive Without Prescriptive</w:t>
      </w:r>
      <w:bookmarkEnd w:id="32"/>
    </w:p>
    <w:p w14:paraId="10B805D6"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All seven countries operate within frameworks formally recognising youth participation rights. The defining characteristic shared across all is that they are permissive rather than prescriptive: they open spaces for youth participation without mandating, financing, or enforcing them. This design creates implementation discretion that systematically disadvantages rural youth, who are furthest from political and administrative centres and have fewest resources to advocate for their own inclusion. Romania's National Youth Strategy 2024-2027 represents the strongest rural focus in the consortium; most other frameworks make little or no specific reference to rural youth as a distinct population with distinctive structural needs.</w:t>
      </w:r>
    </w:p>
    <w:p w14:paraId="7EC49F0E" w14:textId="77777777" w:rsidR="00F7034B" w:rsidRPr="00BE4EE4" w:rsidRDefault="00000000">
      <w:pPr>
        <w:pStyle w:val="Heading3"/>
        <w:keepNext/>
        <w:spacing w:before="200" w:after="60"/>
        <w:rPr>
          <w:rFonts w:ascii="Poppins" w:hAnsi="Poppins" w:cs="Poppins"/>
          <w:color w:val="2F6B3A"/>
        </w:rPr>
      </w:pPr>
      <w:bookmarkStart w:id="33" w:name="_Toc233200035"/>
      <w:r w:rsidRPr="00BE4EE4">
        <w:rPr>
          <w:rFonts w:ascii="Poppins" w:eastAsia="Calibri" w:hAnsi="Poppins" w:cs="Poppins"/>
          <w:color w:val="2F6B3A"/>
        </w:rPr>
        <w:t>4.1.3 Universal Gaps: Present in All Seven Countries</w:t>
      </w:r>
      <w:bookmarkEnd w:id="33"/>
    </w:p>
    <w:p w14:paraId="5816E4C1"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cross-country gap analysis reveals a set of challenges universal across all seven partner countries. Participation is consultative rather than decision-influencing. Feedback loops between youth input and institutional response are weak or absent. Rural-urban participation divides systematically disadvantage rural youth. Youth participation is chronically underfunded relative to stated policy commitments. Engagement is episodic and project-based rather than sustained. Intergenerational norms marginalise youth voice, and gender exclusion of young women compounds this. Digital divides limit reach of digital tools to rural areas. No mandatory rural youth governance structures with dedicated public financing exist in any partner country. Youth ownership of policy processes affecting their lives remains limited everywhere.</w:t>
      </w:r>
    </w:p>
    <w:p w14:paraId="0152A5F2" w14:textId="079AFD5D"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The universality of these gaps across both SSA and European partner countries, across different income levels, democratic traditions, and institutional </w:t>
      </w:r>
      <w:r w:rsidRPr="00BE4EE4">
        <w:rPr>
          <w:rFonts w:ascii="Poppins" w:eastAsia="Calibri" w:hAnsi="Poppins" w:cs="Poppins"/>
          <w:color w:val="1A1A1A"/>
        </w:rPr>
        <w:lastRenderedPageBreak/>
        <w:t xml:space="preserve">architectures, is itself an analytically important finding. It demonstrates that rural youth exclusion from meaningful participation is not a pathology of </w:t>
      </w:r>
      <w:r w:rsidR="00946CFA" w:rsidRPr="00BE4EE4">
        <w:rPr>
          <w:rFonts w:ascii="Poppins" w:eastAsia="Calibri" w:hAnsi="Poppins" w:cs="Poppins"/>
          <w:color w:val="1A1A1A"/>
        </w:rPr>
        <w:t>underdevelopment,</w:t>
      </w:r>
      <w:r w:rsidRPr="00BE4EE4">
        <w:rPr>
          <w:rFonts w:ascii="Poppins" w:eastAsia="Calibri" w:hAnsi="Poppins" w:cs="Poppins"/>
          <w:color w:val="1A1A1A"/>
        </w:rPr>
        <w:t xml:space="preserve"> but a structural feature of governance systems not designed to include rural youth.</w:t>
      </w:r>
    </w:p>
    <w:p w14:paraId="5AB4E29E" w14:textId="77777777" w:rsidR="00F7034B" w:rsidRPr="00BE4EE4" w:rsidRDefault="00000000">
      <w:pPr>
        <w:pStyle w:val="Heading2"/>
        <w:keepNext/>
        <w:spacing w:before="280" w:after="80"/>
        <w:rPr>
          <w:rFonts w:ascii="Poppins" w:hAnsi="Poppins" w:cs="Poppins"/>
          <w:color w:val="B7C3A1"/>
        </w:rPr>
      </w:pPr>
      <w:bookmarkStart w:id="34" w:name="_Toc233200036"/>
      <w:r w:rsidRPr="00BE4EE4">
        <w:rPr>
          <w:rFonts w:ascii="Poppins" w:eastAsia="Calibri" w:hAnsi="Poppins" w:cs="Poppins"/>
          <w:color w:val="B7C3A1"/>
        </w:rPr>
        <w:t>4.2 Sub-Saharan Africa: In-Group Analysis</w:t>
      </w:r>
      <w:bookmarkEnd w:id="34"/>
    </w:p>
    <w:p w14:paraId="23EF2CA4" w14:textId="77777777" w:rsidR="0079532C" w:rsidRPr="00BE4EE4" w:rsidRDefault="0079532C" w:rsidP="0079532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The Structural Misalignment at the Heart of SSA Rural Youth Exclusion</w:t>
      </w:r>
    </w:p>
    <w:p w14:paraId="29906227" w14:textId="77777777" w:rsidR="0079532C" w:rsidRPr="00BE4EE4" w:rsidRDefault="0079532C" w:rsidP="0079532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The four SSA partner countries share an overarching structural challenge that transcends their considerable differences in size, income level, governance architecture, and cultural context: the misalignment between the communities where rural youth live and the institutions that hold formal authority and resources. Formal participation structures are designed at national or state level, staffed from administrative centres, and funded through budget cycles that respond to capital-city political priorities. The everyday governance of rural youth's lives, however, is shaped primarily by local and customary institutions, traditional assemblies, age associations, community development organisations, religious bodies, and informal networks, that carry deep community legitimacy but lack statutory authority and predictable public financing. This misalignment produces the characteristic pattern documented across all four SSA country reports: voice without power at the community level, and power without proximity at the formal institutional level. Bridging this gap is the central design challenge for every EMPOWER+ RYP.</w:t>
      </w:r>
    </w:p>
    <w:p w14:paraId="23122C17" w14:textId="77777777" w:rsidR="0079532C" w:rsidRPr="00BE4EE4" w:rsidRDefault="0079532C" w:rsidP="0079532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Country-Level Variation Within the Shared Structure</w:t>
      </w:r>
    </w:p>
    <w:p w14:paraId="0B32317F" w14:textId="77777777" w:rsidR="0079532C" w:rsidRPr="00BE4EE4" w:rsidRDefault="0079532C" w:rsidP="0079532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Within this shared structural challenge, the country-level variation across the four SSA partners is analytically significant and has direct implications for RYP design priorities. Mauritius sits at one end of the spectrum: it has the most developed institutional ecosystem, the greatest density of accessible formal structures </w:t>
      </w:r>
      <w:r w:rsidRPr="00BE4EE4">
        <w:rPr>
          <w:rFonts w:ascii="Poppins" w:eastAsia="Calibri" w:hAnsi="Poppins" w:cs="Poppins"/>
          <w:color w:val="1A1A1A"/>
          <w:lang w:val="en-BE"/>
        </w:rPr>
        <w:lastRenderedPageBreak/>
        <w:t>including Regional Youth Councils in every district, and the narrowest implementation gap relative to its policy framework commitments. The primary design challenge in Mauritius is not institution-building but reform of existing structures to remove the affiliation dependency that excludes independent rural youth and to connect participation agendas more directly to rural livelihood issues. Nigeria sits at the opposite extreme in terms of institutional complexity: it has the largest formal participation architecture in the consortium by far, but also the most severe implementation gap, the most acute financing crisis, and the most pronounced fragmentation between formal structures and rural community realities. The primary design challenge in Nigeria is not creating new structures but legitimising, financing, and connecting existing community-level structures to formal governance authority. Botswana occupies an analytically interesting intermediate position, with the Kgotla system providing a uniquely culturally legitimate deliberation venue that has no equivalent in other partner countries, but with significant barriers in the areas of feedback accountability, intergenerational norm change, and digital equality. The primary design challenge in Botswana is transforming the Kgotla from a one-directional consultation space into a genuine accountability forum. Madagascar presents the most acute structural vulnerabilities of the four: the most limited institutional infrastructure, the most severe economic barriers to participation, and the weakest state implementation capacity. Yet it also has the most powerful documented grassroots civic energy, the most vibrant associational traditions in the andrimasompokonolona, scouting movements, and religious youth organisations, and the most unanimous mandate for RYP development of any country in the consortium. The primary design challenge in Madagascar is not generating youth motivation but creating the economic, informational, and institutional conditions that allow that motivation to translate into sustained civic engagement.</w:t>
      </w:r>
    </w:p>
    <w:p w14:paraId="1FA17F06" w14:textId="77777777" w:rsidR="0079532C" w:rsidRPr="00BE4EE4" w:rsidRDefault="0079532C" w:rsidP="0079532C">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Shared SSA Design Priorities</w:t>
      </w:r>
    </w:p>
    <w:p w14:paraId="1192D144" w14:textId="77777777" w:rsidR="0079532C" w:rsidRPr="00BE4EE4" w:rsidRDefault="0079532C" w:rsidP="0079532C">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lastRenderedPageBreak/>
        <w:t xml:space="preserve">Across all four SSA contexts, five design priorities emerge consistently from the in-group analysis. First, </w:t>
      </w:r>
      <w:proofErr w:type="spellStart"/>
      <w:r w:rsidRPr="00BE4EE4">
        <w:rPr>
          <w:rFonts w:ascii="Poppins" w:eastAsia="Calibri" w:hAnsi="Poppins" w:cs="Poppins"/>
          <w:color w:val="1A1A1A"/>
          <w:lang w:val="en-BE"/>
        </w:rPr>
        <w:t>RYPs</w:t>
      </w:r>
      <w:proofErr w:type="spellEnd"/>
      <w:r w:rsidRPr="00BE4EE4">
        <w:rPr>
          <w:rFonts w:ascii="Poppins" w:eastAsia="Calibri" w:hAnsi="Poppins" w:cs="Poppins"/>
          <w:color w:val="1A1A1A"/>
          <w:lang w:val="en-BE"/>
        </w:rPr>
        <w:t xml:space="preserve"> must be anchored at the local governance level where community legitimacy and institutional authority can be most readily combined: the district in Botswana, the LGA in Nigeria, the regional council territory in Mauritius, the commune in Madagascar. Second, traditional and community authority structures must be engaged as formal partners in RYP governance from the outset, not as external endorsers approached after the design is complete. Third, economic participation barriers must be addressed through explicit and budgeted resource provisions including transport allowances, per diem support, and communication credit, recognising that these are structural prerequisites rather than administrative conveniences. Fourth, feedback accountability mechanisms must be built into every RYP design as constitutional requirements: authorities engaging with RYP outputs must be formally obligated to respond within defined timeframes with public explanations of what was accepted, rejected, and why. Fifth, the inclusion of the most excluded youth, young women, youth with disabilities, school dropouts, and youth from the most remote communities, must be built into RYP design as enforceable quotas rather than aspirational commitments, recognising that voluntary inclusion systematically underdelivers in every documented SSA context.</w:t>
      </w:r>
    </w:p>
    <w:p w14:paraId="31CC0FF6" w14:textId="5167A899" w:rsidR="0079532C" w:rsidRPr="00BE4EE4" w:rsidRDefault="0079532C" w:rsidP="00C56152">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SSA Design Principle: Rural Youth Parliaments in Sub-Saharan Africa must be community-rooted, economically inclusive, accountability-oriented, and specifically designed for rural accessibility from the outset. They cannot be national structures adapted downward; they must be local structures connected upward.</w:t>
      </w:r>
    </w:p>
    <w:p w14:paraId="2F739228" w14:textId="77777777" w:rsidR="00F7034B" w:rsidRPr="00BE4EE4" w:rsidRDefault="00000000">
      <w:pPr>
        <w:pStyle w:val="Heading2"/>
        <w:keepNext/>
        <w:spacing w:before="280" w:after="80"/>
        <w:rPr>
          <w:rFonts w:ascii="Poppins" w:hAnsi="Poppins" w:cs="Poppins"/>
          <w:color w:val="B7C3A1"/>
        </w:rPr>
      </w:pPr>
      <w:bookmarkStart w:id="35" w:name="_Toc233200037"/>
      <w:r w:rsidRPr="00BE4EE4">
        <w:rPr>
          <w:rFonts w:ascii="Poppins" w:eastAsia="Calibri" w:hAnsi="Poppins" w:cs="Poppins"/>
          <w:color w:val="B7C3A1"/>
        </w:rPr>
        <w:t>4.3 Europe: In-Group Analysis</w:t>
      </w:r>
      <w:bookmarkEnd w:id="35"/>
    </w:p>
    <w:p w14:paraId="5C22C4F7" w14:textId="77777777" w:rsidR="00320448" w:rsidRPr="00BE4EE4" w:rsidRDefault="00320448" w:rsidP="0032044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The European Contribution: Methodology, Experience, and Structural Lessons</w:t>
      </w:r>
    </w:p>
    <w:p w14:paraId="3CEB2580" w14:textId="77777777" w:rsidR="00320448" w:rsidRPr="00BE4EE4" w:rsidRDefault="00320448" w:rsidP="0032044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lastRenderedPageBreak/>
        <w:t>The three European partner countries contribute to EMPOWER+ primarily as sources of transferable methodology, tested participatory formats, and institutional design experience developed across multiple project cycles and governance contexts. Their participation challenges are structurally similar to SSA contexts in important ways, even if they are significantly less severe in terms of economic exclusion, institutional fragility, and governance capacity. All three operate within the shared EU Youth Strategy framework, have access to EU structural and programme funding instruments, and have developed youth participation programming against a backdrop of right-to-participation commitments backed by enforceable legal frameworks. The consistent finding across all three European partners, that participation is predominantly advisory without being influential, that feedback loops are weak or absent, and that rural areas are systematically underserved by participation structures designed primarily for urban contexts, is itself an important analytical contribution. It demonstrates that the challenges EMPOWER+ addresses in SSA are not pathologies of underdevelopment or institutional weakness but structural features of governance systems that have not been specifically designed to include rural youth, present even in well-resourced European democracies.</w:t>
      </w:r>
    </w:p>
    <w:p w14:paraId="240A7D50" w14:textId="77777777" w:rsidR="00320448" w:rsidRPr="00BE4EE4" w:rsidRDefault="00320448" w:rsidP="0032044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Romania: The Most Directly Relevant Context</w:t>
      </w:r>
    </w:p>
    <w:p w14:paraId="4176296C" w14:textId="77777777" w:rsidR="00320448" w:rsidRPr="00BE4EE4" w:rsidRDefault="00320448" w:rsidP="0032044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Romania's LAG Napoca Porolissum context is the most directly analytically relevant of the three European partners, for reasons that go beyond the existence of a tested RYP model. The territory's geographic dispersion across multiple small mountain communes, its limited transport connectivity, its significant youth out-migration pressure, and the role of the LAG as a mediating governance structure between dispersed rural communities and regional public institutions create a set of conditions that share important structural features with SSA rural governance contexts, even where income levels, democratic traditions, and EU funding </w:t>
      </w:r>
      <w:r w:rsidRPr="00BE4EE4">
        <w:rPr>
          <w:rFonts w:ascii="Poppins" w:eastAsia="Calibri" w:hAnsi="Poppins" w:cs="Poppins"/>
          <w:color w:val="1A1A1A"/>
          <w:lang w:val="en-BE"/>
        </w:rPr>
        <w:lastRenderedPageBreak/>
        <w:t>environments differ fundamentally. The Romanian evidence demonstrates several things of direct SSA relevance. Structured rural youth deliberation can be made to work in dispersed, resource-limited, geographically challenging mountain territory if the methodology is appropriately designed and the facilitation infrastructure is adequately resourced. Community action linkage, the connection between what youth deliberate and what communities actually do, is the most powerful driver of sustained participation engagement: when RYP delegates can point to environmental campaigns, cultural events, and local projects that resulted from their deliberations, the motivation to continue engaging is qualitatively different from what any consultation process can generate. The institutional anchoring provided by the LAG governance structure, giving RYP outputs an administrative pathway into territorial development planning, is the single most important structural feature of the Romanian model and the one that requires the most deliberate contextualisation for SSA settings.</w:t>
      </w:r>
    </w:p>
    <w:p w14:paraId="6D1FF963" w14:textId="77777777" w:rsidR="00320448" w:rsidRPr="00BE4EE4" w:rsidRDefault="00320448" w:rsidP="0032044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Italy: Empowerment Methodology and the Limits of Resources</w:t>
      </w:r>
    </w:p>
    <w:p w14:paraId="7EAF2D0B" w14:textId="77777777" w:rsidR="00320448" w:rsidRPr="00BE4EE4" w:rsidRDefault="00320448" w:rsidP="0032044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Italy's most significant contribution is the YEPP Local Support Group methodology, a model of empowerment that achieves its effectiveness not through institutional design alone but through a particular combination of long-term relational investment, genuine youth ownership of budgets and priorities, community rootedness, and sustained institutional commitment across multiple project cycles. The analytical lesson of YEPP for SSA RYP design is that the relational and cultural dimensions of participation support, often treated as soft, supplementary features of programme design, are in fact structural determinants of effectiveness. YEPP Local Support Groups succeed where other youth participation programmes fail in the same communities primarily because they give youth delegates real decision-making authority over real resources, however modest, and because the facilitation relationship is sustained over years rather than project cycles. The </w:t>
      </w:r>
      <w:r w:rsidRPr="00BE4EE4">
        <w:rPr>
          <w:rFonts w:ascii="Poppins" w:eastAsia="Calibri" w:hAnsi="Poppins" w:cs="Poppins"/>
          <w:color w:val="1A1A1A"/>
          <w:lang w:val="en-BE"/>
        </w:rPr>
        <w:lastRenderedPageBreak/>
        <w:t xml:space="preserve">Italian evidence also contributes a critical cautionary lesson: Sicily's fifty-three-point-six percent youth unemployment rate demonstrates that even very high levels of formal institutional support and programme funding are insufficient when the economic exclusion of youth is so severe that civic engagement competes with economic survival. This lesson is directly applicable to SSA contexts where economic exclusion is more severe still, and where the design of </w:t>
      </w:r>
      <w:proofErr w:type="spellStart"/>
      <w:r w:rsidRPr="00BE4EE4">
        <w:rPr>
          <w:rFonts w:ascii="Poppins" w:eastAsia="Calibri" w:hAnsi="Poppins" w:cs="Poppins"/>
          <w:color w:val="1A1A1A"/>
          <w:lang w:val="en-BE"/>
        </w:rPr>
        <w:t>RYPs</w:t>
      </w:r>
      <w:proofErr w:type="spellEnd"/>
      <w:r w:rsidRPr="00BE4EE4">
        <w:rPr>
          <w:rFonts w:ascii="Poppins" w:eastAsia="Calibri" w:hAnsi="Poppins" w:cs="Poppins"/>
          <w:color w:val="1A1A1A"/>
          <w:lang w:val="en-BE"/>
        </w:rPr>
        <w:t xml:space="preserve"> that do not address the economic dimension of youth lives alongside the civic dimension will face structural limits on their sustainability.</w:t>
      </w:r>
    </w:p>
    <w:p w14:paraId="215FF65C" w14:textId="77777777" w:rsidR="00320448" w:rsidRPr="00BE4EE4" w:rsidRDefault="00320448" w:rsidP="0032044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Greece: Institutional Integration and the Rural Deficit</w:t>
      </w:r>
    </w:p>
    <w:p w14:paraId="797AE888" w14:textId="77777777" w:rsidR="00320448" w:rsidRPr="00BE4EE4" w:rsidRDefault="00320448" w:rsidP="0032044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Greece contributes the Municipal Youth Council model and its extensively documented experience of the challenges of sustaining youth participation structures across electoral cycles and funding periods. The Municipal Youth Council of Larissa offers a reference model for the institutional integration of a youth deliberative body into municipal governance, demonstrating how thematic working groups, defined administrative pathways, and sustained engagement with specific policy domains can transform a consultation forum into a genuine governance institution. The Greek evidence also contributes a sobering finding about the rural dimension of youth participation that is directly relevant to EMPOWER+: even in a European democracy with a constitutional right to participation and EU structural fund access, Municipal Youth Councils are inconsistently established in rural municipalities and face endemic challenges of project-funding dependency, volunteer burnout, and low institutional integration. The gap between the formal architecture of youth participation and the practical reality for rural youth that EMPOWER+ documents in SSA is present, in structurally analogous if less severe form, in the rural municipalities of EU member states as well.</w:t>
      </w:r>
    </w:p>
    <w:p w14:paraId="7B37A3B0" w14:textId="77777777" w:rsidR="00320448" w:rsidRPr="00BE4EE4" w:rsidRDefault="00320448" w:rsidP="00320448">
      <w:pPr>
        <w:spacing w:before="60" w:after="100"/>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Cross-European Design Lessons</w:t>
      </w:r>
    </w:p>
    <w:p w14:paraId="208F8190" w14:textId="77777777" w:rsidR="00320448" w:rsidRPr="00BE4EE4" w:rsidRDefault="00320448" w:rsidP="00320448">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lastRenderedPageBreak/>
        <w:t>Three cross-European design lessons emerge from the in-group analysis. First, sustainability is the central challenge facing all European youth participation models, and the primary source of sustainability failure is project-based rather than institutionally budgeted financing. The transition from project-funded to institutionally funded participation is the most important single structural change that any youth participation innovation, European or SSA, must achieve to endure beyond its founding project cycle. Second, the relational dimension of participation support, the investment in trust, confidence-building, and civic skill development that makes formal deliberation accessible to marginalised youth, requires time measured in years rather than months and cannot be achieved through one-off training events or periodic consultation exercises. Third, the connection between what youth deliberate and what governance processes do with those deliberations is the make-or-break feature of any participation model: without a visible accountability closure mechanism, sustained engagement is structurally improbable regardless of the quality of the deliberative process itself.</w:t>
      </w:r>
    </w:p>
    <w:p w14:paraId="28953355" w14:textId="77777777" w:rsidR="00320448" w:rsidRPr="00BE4EE4" w:rsidRDefault="00320448">
      <w:pPr>
        <w:spacing w:before="60" w:after="100"/>
        <w:jc w:val="both"/>
        <w:rPr>
          <w:rFonts w:ascii="Poppins" w:hAnsi="Poppins" w:cs="Poppins"/>
          <w:lang w:val="en-BE"/>
        </w:rPr>
      </w:pPr>
    </w:p>
    <w:p w14:paraId="3B5258D0" w14:textId="77777777" w:rsidR="00F7034B" w:rsidRPr="00BE4EE4" w:rsidRDefault="00000000">
      <w:pPr>
        <w:pStyle w:val="Heading2"/>
        <w:keepNext/>
        <w:spacing w:before="280" w:after="80"/>
        <w:rPr>
          <w:rFonts w:ascii="Poppins" w:hAnsi="Poppins" w:cs="Poppins"/>
          <w:color w:val="B7C3A1"/>
        </w:rPr>
      </w:pPr>
      <w:bookmarkStart w:id="36" w:name="_Toc233200038"/>
      <w:r w:rsidRPr="00BE4EE4">
        <w:rPr>
          <w:rFonts w:ascii="Poppins" w:eastAsia="Calibri" w:hAnsi="Poppins" w:cs="Poppins"/>
          <w:color w:val="B7C3A1"/>
        </w:rPr>
        <w:t>4.4 European-to-SSA Knowledge Transfer: Four Design Principles</w:t>
      </w:r>
      <w:bookmarkEnd w:id="36"/>
    </w:p>
    <w:p w14:paraId="1BBF4112" w14:textId="77777777" w:rsidR="00626FB7" w:rsidRPr="00BE4EE4" w:rsidRDefault="00626FB7" w:rsidP="00626FB7">
      <w:pPr>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The Shared Core Challenge: Why European Experience Is Genuinely Relevant</w:t>
      </w:r>
    </w:p>
    <w:p w14:paraId="1F74A3E7" w14:textId="58C08FCF" w:rsidR="00626FB7" w:rsidRPr="00BE4EE4" w:rsidRDefault="00626FB7" w:rsidP="00626FB7">
      <w:pPr>
        <w:jc w:val="both"/>
        <w:rPr>
          <w:rFonts w:ascii="Poppins" w:eastAsia="Calibri" w:hAnsi="Poppins" w:cs="Poppins"/>
          <w:color w:val="1A1A1A"/>
          <w:lang w:val="en-BE"/>
        </w:rPr>
      </w:pPr>
      <w:r w:rsidRPr="00BE4EE4">
        <w:rPr>
          <w:rFonts w:ascii="Poppins" w:eastAsia="Calibri" w:hAnsi="Poppins" w:cs="Poppins"/>
          <w:color w:val="1A1A1A"/>
          <w:lang w:val="en-BE"/>
        </w:rPr>
        <w:t xml:space="preserve">The first and most foundational principle of knowledge transfer from this analysis is that the fundamental challenge facing both continental clusters is structurally shared, even if the conditions of implementation differ substantially. In both SSA and European partner contexts, rural youth face participation landscapes where formal rights exist without practical accessibility; where consultation is more </w:t>
      </w:r>
      <w:r w:rsidRPr="00BE4EE4">
        <w:rPr>
          <w:rFonts w:ascii="Poppins" w:eastAsia="Calibri" w:hAnsi="Poppins" w:cs="Poppins"/>
          <w:color w:val="1A1A1A"/>
          <w:lang w:val="en-BE"/>
        </w:rPr>
        <w:lastRenderedPageBreak/>
        <w:t>common than influence; where community energy and civic motivation are present but not connected to the governance processes where consequential decisions are made; and where the most excluded youth, young women, youth with disabilities, economically marginalised youth, and youth from the most remote communities, face compounding barriers that no existing mechanism systematically addresses. This structural convergence means that European experience of what works and what does not is genuinely relevant to SSA design rather than constituting an imposition of solutions developed for fundamentally different governance contexts. The Romania RYP methodology, the Italy YEPP empowerment model, and the Greece Municipal Youth Council institutional integration experience all address real and shared problems, and their adaptation for SSA contexts is a process of contextualisation rather than wholesale transplantation. The knowledge transfer is also genuinely bidirectional: the SSA partner country evidence on community legitimacy, intergenerational governance, and the role of traditional authority in sustaining participation offers design lessons that are relevant to European contexts grappling with the limits of formal institutional approaches.</w:t>
      </w:r>
    </w:p>
    <w:p w14:paraId="4BF54563" w14:textId="77777777" w:rsidR="00626FB7" w:rsidRPr="00BE4EE4" w:rsidRDefault="00626FB7" w:rsidP="00626FB7">
      <w:pPr>
        <w:jc w:val="both"/>
        <w:rPr>
          <w:rFonts w:ascii="Poppins" w:eastAsia="Calibri" w:hAnsi="Poppins" w:cs="Poppins"/>
          <w:color w:val="1A1A1A"/>
          <w:lang w:val="en-BE"/>
        </w:rPr>
      </w:pPr>
    </w:p>
    <w:p w14:paraId="341020B4" w14:textId="77777777" w:rsidR="00626FB7" w:rsidRPr="00BE4EE4" w:rsidRDefault="00626FB7" w:rsidP="00626FB7">
      <w:pPr>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Community Legitimacy as Non-Negotiable: The SSA-Specific Design Imperative</w:t>
      </w:r>
    </w:p>
    <w:p w14:paraId="69C36BCF" w14:textId="77777777" w:rsidR="00626FB7" w:rsidRPr="00BE4EE4" w:rsidRDefault="00626FB7" w:rsidP="00626FB7">
      <w:pPr>
        <w:jc w:val="both"/>
        <w:rPr>
          <w:rFonts w:ascii="Poppins" w:eastAsia="Calibri" w:hAnsi="Poppins" w:cs="Poppins"/>
          <w:color w:val="1A1A1A"/>
          <w:lang w:val="en-BE"/>
        </w:rPr>
      </w:pPr>
      <w:r w:rsidRPr="00BE4EE4">
        <w:rPr>
          <w:rFonts w:ascii="Poppins" w:eastAsia="Calibri" w:hAnsi="Poppins" w:cs="Poppins"/>
          <w:color w:val="1A1A1A"/>
          <w:lang w:val="en-BE"/>
        </w:rPr>
        <w:t xml:space="preserve">The second principle is that community legitimacy is a more critical and more complex design factor in SSA contexts than in European ones, and that its absence is a more acute risk of RYP failure in SSA than any other single design failure. Traditional and community authority, embodied in the Kgosi and Kgotla in Botswana, the age-grade systems and emirate councils in Nigeria, the andrimasompokonolona and community associations in Madagascar, and the Regional Youth Council networks in Mauritius, is not merely a cultural feature of SSA governance but a structural precondition for the sustained legitimacy of any </w:t>
      </w:r>
      <w:r w:rsidRPr="00BE4EE4">
        <w:rPr>
          <w:rFonts w:ascii="Poppins" w:eastAsia="Calibri" w:hAnsi="Poppins" w:cs="Poppins"/>
          <w:color w:val="1A1A1A"/>
          <w:lang w:val="en-BE"/>
        </w:rPr>
        <w:lastRenderedPageBreak/>
        <w:t>formal participation structure. In European partner contexts, youth councils and parliaments can derive their authority primarily from their legal basis and their connection to formal government structures, because the legitimate authority of those formal structures is broadly accepted. In SSA rural contexts, formal legal authority is often distant, poorly understood, and not consistently experienced as legitimate by rural communities whose everyday governance is shaped by customary institutions. RYP models adapted for SSA must therefore actively seek and secure the endorsement and active participation of traditional and community leaders as a foundational design step, not as a public relations activity or an afterthought. The evidence from Nigeria's Sarkin Samari institution and Botswana's Kgotla system demonstrates that traditional authority can be a powerful amplifier of youth voice rather than a barrier to it, when traditional leaders are engaged as genuine partners in youth governance rather than bypassed in favour of externally designed formal structures.</w:t>
      </w:r>
    </w:p>
    <w:p w14:paraId="444F1FD5" w14:textId="77777777" w:rsidR="00626FB7" w:rsidRPr="00BE4EE4" w:rsidRDefault="00626FB7" w:rsidP="00626FB7">
      <w:pPr>
        <w:jc w:val="both"/>
        <w:rPr>
          <w:rFonts w:ascii="Poppins" w:eastAsia="Calibri" w:hAnsi="Poppins" w:cs="Poppins"/>
          <w:color w:val="1A1A1A"/>
          <w:lang w:val="en-BE"/>
        </w:rPr>
      </w:pPr>
    </w:p>
    <w:p w14:paraId="090BDCEA" w14:textId="77777777" w:rsidR="00626FB7" w:rsidRPr="00BE4EE4" w:rsidRDefault="00626FB7" w:rsidP="00626FB7">
      <w:pPr>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 xml:space="preserve">Economic Participation Barriers: A Structural Prerequisite, </w:t>
      </w:r>
      <w:proofErr w:type="gramStart"/>
      <w:r w:rsidRPr="00BE4EE4">
        <w:rPr>
          <w:rFonts w:ascii="Poppins" w:eastAsia="Calibri" w:hAnsi="Poppins" w:cs="Poppins"/>
          <w:b/>
          <w:bCs/>
          <w:i/>
          <w:iCs/>
          <w:color w:val="1A1A1A"/>
          <w:sz w:val="24"/>
          <w:szCs w:val="24"/>
          <w:lang w:val="en-BE"/>
        </w:rPr>
        <w:t>Not</w:t>
      </w:r>
      <w:proofErr w:type="gramEnd"/>
      <w:r w:rsidRPr="00BE4EE4">
        <w:rPr>
          <w:rFonts w:ascii="Poppins" w:eastAsia="Calibri" w:hAnsi="Poppins" w:cs="Poppins"/>
          <w:b/>
          <w:bCs/>
          <w:i/>
          <w:iCs/>
          <w:color w:val="1A1A1A"/>
          <w:sz w:val="24"/>
          <w:szCs w:val="24"/>
          <w:lang w:val="en-BE"/>
        </w:rPr>
        <w:t xml:space="preserve"> a Logistical Detail</w:t>
      </w:r>
    </w:p>
    <w:p w14:paraId="2726A206" w14:textId="77777777" w:rsidR="00626FB7" w:rsidRPr="00BE4EE4" w:rsidRDefault="00626FB7" w:rsidP="00626FB7">
      <w:pPr>
        <w:jc w:val="both"/>
        <w:rPr>
          <w:rFonts w:ascii="Poppins" w:eastAsia="Calibri" w:hAnsi="Poppins" w:cs="Poppins"/>
          <w:color w:val="1A1A1A"/>
          <w:lang w:val="en-BE"/>
        </w:rPr>
      </w:pPr>
      <w:r w:rsidRPr="00BE4EE4">
        <w:rPr>
          <w:rFonts w:ascii="Poppins" w:eastAsia="Calibri" w:hAnsi="Poppins" w:cs="Poppins"/>
          <w:color w:val="1A1A1A"/>
          <w:lang w:val="en-BE"/>
        </w:rPr>
        <w:t xml:space="preserve">The third principle is that economic participation barriers in SSA contexts are qualitatively different from those in European contexts and require a fundamentally different design response. In European partner country reports, transport costs, the opportunity cost of time, and the direct costs of participation receive only passing mention because EU structural funds, civil society programme budgets, and social protection systems largely absorb them. Youth delegates to the Romanian RYP receive travel support; Italian YEPP participants receive per diem; Greek Municipal Youth Council members do not face the prospect of foregoing a day's agricultural income to attend a meeting. In SSA contexts, these costs are not absorbed by any system and are frequently prohibitive for the most marginalised rural youth. The Madagascar Task 2.1 evidence documents this most starkly: rural youth cannot </w:t>
      </w:r>
      <w:r w:rsidRPr="00BE4EE4">
        <w:rPr>
          <w:rFonts w:ascii="Poppins" w:eastAsia="Calibri" w:hAnsi="Poppins" w:cs="Poppins"/>
          <w:color w:val="1A1A1A"/>
          <w:lang w:val="en-BE"/>
        </w:rPr>
        <w:lastRenderedPageBreak/>
        <w:t xml:space="preserve">afford the transport costs to reach participation meetings, creating a direct financial barrier that excludes the most economically marginalised youth from all participation activities regardless of their motivation or civic capacity. Transport allowances, per diem support, communication credit, and provisions for </w:t>
      </w:r>
      <w:proofErr w:type="gramStart"/>
      <w:r w:rsidRPr="00BE4EE4">
        <w:rPr>
          <w:rFonts w:ascii="Poppins" w:eastAsia="Calibri" w:hAnsi="Poppins" w:cs="Poppins"/>
          <w:color w:val="1A1A1A"/>
          <w:lang w:val="en-BE"/>
        </w:rPr>
        <w:t>child care</w:t>
      </w:r>
      <w:proofErr w:type="gramEnd"/>
      <w:r w:rsidRPr="00BE4EE4">
        <w:rPr>
          <w:rFonts w:ascii="Poppins" w:eastAsia="Calibri" w:hAnsi="Poppins" w:cs="Poppins"/>
          <w:color w:val="1A1A1A"/>
          <w:lang w:val="en-BE"/>
        </w:rPr>
        <w:t xml:space="preserve"> that enable young mothers to participate are not programme luxuries or administrative conveniences: they are structural prerequisites for the participation of the youth who need </w:t>
      </w:r>
      <w:proofErr w:type="spellStart"/>
      <w:r w:rsidRPr="00BE4EE4">
        <w:rPr>
          <w:rFonts w:ascii="Poppins" w:eastAsia="Calibri" w:hAnsi="Poppins" w:cs="Poppins"/>
          <w:color w:val="1A1A1A"/>
          <w:lang w:val="en-BE"/>
        </w:rPr>
        <w:t>RYPs</w:t>
      </w:r>
      <w:proofErr w:type="spellEnd"/>
      <w:r w:rsidRPr="00BE4EE4">
        <w:rPr>
          <w:rFonts w:ascii="Poppins" w:eastAsia="Calibri" w:hAnsi="Poppins" w:cs="Poppins"/>
          <w:color w:val="1A1A1A"/>
          <w:lang w:val="en-BE"/>
        </w:rPr>
        <w:t xml:space="preserve"> most. Every SSA RYP budget must include these provisions as fixed costs from inception, and their adequacy must be monitored as a participation quality indicator alongside more conventional metrics of attendance and representativeness.</w:t>
      </w:r>
    </w:p>
    <w:p w14:paraId="6D67790F" w14:textId="77777777" w:rsidR="00626FB7" w:rsidRPr="00BE4EE4" w:rsidRDefault="00626FB7" w:rsidP="00626FB7">
      <w:pPr>
        <w:jc w:val="both"/>
        <w:rPr>
          <w:rFonts w:ascii="Poppins" w:eastAsia="Calibri" w:hAnsi="Poppins" w:cs="Poppins"/>
          <w:color w:val="1A1A1A"/>
          <w:lang w:val="en-BE"/>
        </w:rPr>
      </w:pPr>
    </w:p>
    <w:p w14:paraId="10228FAF" w14:textId="77777777" w:rsidR="00626FB7" w:rsidRPr="00BE4EE4" w:rsidRDefault="00626FB7" w:rsidP="00626FB7">
      <w:pPr>
        <w:jc w:val="both"/>
        <w:rPr>
          <w:rFonts w:ascii="Poppins" w:eastAsia="Calibri" w:hAnsi="Poppins" w:cs="Poppins"/>
          <w:b/>
          <w:bCs/>
          <w:color w:val="1A1A1A"/>
          <w:sz w:val="24"/>
          <w:szCs w:val="24"/>
          <w:lang w:val="en-BE"/>
        </w:rPr>
      </w:pPr>
      <w:r w:rsidRPr="00BE4EE4">
        <w:rPr>
          <w:rFonts w:ascii="Poppins" w:eastAsia="Calibri" w:hAnsi="Poppins" w:cs="Poppins"/>
          <w:b/>
          <w:bCs/>
          <w:i/>
          <w:iCs/>
          <w:color w:val="1A1A1A"/>
          <w:sz w:val="24"/>
          <w:szCs w:val="24"/>
          <w:lang w:val="en-BE"/>
        </w:rPr>
        <w:t>Deliberate Contextualisation: What Transfers and What Must Be Redesigned</w:t>
      </w:r>
    </w:p>
    <w:p w14:paraId="6F72DDB6" w14:textId="3690A997" w:rsidR="009D6A68" w:rsidRPr="00BE4EE4" w:rsidRDefault="00626FB7" w:rsidP="009D6A68">
      <w:pPr>
        <w:jc w:val="both"/>
        <w:rPr>
          <w:rFonts w:ascii="Poppins" w:eastAsia="Calibri" w:hAnsi="Poppins" w:cs="Poppins"/>
          <w:color w:val="1A1A1A"/>
          <w:lang w:val="en-BE"/>
        </w:rPr>
      </w:pPr>
      <w:r w:rsidRPr="00BE4EE4">
        <w:rPr>
          <w:rFonts w:ascii="Poppins" w:eastAsia="Calibri" w:hAnsi="Poppins" w:cs="Poppins"/>
          <w:color w:val="1A1A1A"/>
          <w:lang w:val="en-BE"/>
        </w:rPr>
        <w:t xml:space="preserve">The fourth principle is the most operationally complex: the Romania RYP methodology, the most directly applicable European model, requires deliberate and systematic contextualisation for each SSA setting, and the distinction between what can be directly adapted and what must be fundamentally redesigned is not always intuitive. The deliberation methodology itself, the structured format for youth delegates to identify community priorities, formulate proposals, and engage in accountable dialogue with decision-makers, is adaptable across cultural and governance contexts with appropriate modification for oral tradition communication norms, local language use, and culturally resonant facilitation styles. The facilitation guide developed through iterative Romanian practice provides a starting point rather than a fixed protocol, and its adaptation is a design task that requires the active co-design participation of SSA partners rather than translation by European experts. The community action linkage model, the principle that RYP deliberations produce concrete community actions that are visible and attributable to the RYP, is directly transferable as a design principle regardless of </w:t>
      </w:r>
      <w:r w:rsidRPr="00BE4EE4">
        <w:rPr>
          <w:rFonts w:ascii="Poppins" w:eastAsia="Calibri" w:hAnsi="Poppins" w:cs="Poppins"/>
          <w:color w:val="1A1A1A"/>
          <w:lang w:val="en-BE"/>
        </w:rPr>
        <w:lastRenderedPageBreak/>
        <w:t>the specific activities that result in different cultural contexts. What cannot be transferred directly, and what requires the most deliberate redesign for each SSA context, is the institutional anchoring strategy: the specific answer to the question of which institution in this context carries sufficient authority, community legitimacy, and resource access to provide the governance home for the RYP. In Romania, the LAG provides this anchor through its LEADER mandate, its territorial governance role, and its established relationships with both community organisations and public institutions. No equivalent institution exists in any of the four SSA partner contexts, and the process of identifying and securing the appropriate institutional anchor, whether a district council in Botswana, an LGA administration in Nigeria, a regional youth council in Mauritius, or a commune-level authority in Madagascar, is the most context-specific and most consequential design task in each SSA country, one that cannot be completed by European partners on behalf of SSA partners but must be led by the SSA organisations with the deepest community relationships and institutional knowledge.</w:t>
      </w:r>
    </w:p>
    <w:p w14:paraId="218030AE" w14:textId="031A4F87" w:rsidR="009D6A68" w:rsidRPr="00BE4EE4" w:rsidRDefault="009D6A68" w:rsidP="009D6A68">
      <w:pPr>
        <w:pStyle w:val="Heading2"/>
        <w:keepNext/>
        <w:spacing w:before="280" w:after="80"/>
        <w:rPr>
          <w:rFonts w:ascii="Poppins" w:eastAsia="Calibri" w:hAnsi="Poppins" w:cs="Poppins"/>
          <w:color w:val="B7C3A1"/>
        </w:rPr>
      </w:pPr>
      <w:bookmarkStart w:id="37" w:name="_Toc233200039"/>
      <w:r w:rsidRPr="00BE4EE4">
        <w:rPr>
          <w:rFonts w:ascii="Poppins" w:eastAsia="Calibri" w:hAnsi="Poppins" w:cs="Poppins"/>
          <w:color w:val="B7C3A1"/>
        </w:rPr>
        <w:t xml:space="preserve">4.5 </w:t>
      </w:r>
      <w:r w:rsidR="0033525D" w:rsidRPr="00BE4EE4">
        <w:rPr>
          <w:rFonts w:ascii="Poppins" w:eastAsia="Calibri" w:hAnsi="Poppins" w:cs="Poppins"/>
          <w:color w:val="B7C3A1"/>
        </w:rPr>
        <w:t>From Findings to Implementation</w:t>
      </w:r>
      <w:bookmarkEnd w:id="37"/>
    </w:p>
    <w:p w14:paraId="02D98281" w14:textId="77777777" w:rsidR="004F04E4" w:rsidRPr="00BE4EE4" w:rsidRDefault="004F04E4" w:rsidP="004F04E4">
      <w:pPr>
        <w:jc w:val="both"/>
        <w:rPr>
          <w:rFonts w:ascii="Poppins" w:hAnsi="Poppins" w:cs="Poppins"/>
          <w:lang w:val="en-BE"/>
        </w:rPr>
      </w:pPr>
      <w:r w:rsidRPr="00BE4EE4">
        <w:rPr>
          <w:rFonts w:ascii="Poppins" w:hAnsi="Poppins" w:cs="Poppins"/>
          <w:lang w:val="en-BE"/>
        </w:rPr>
        <w:t>The comparative findings presented in this section are not an analytical endpoint but the evidence foundation for the subsequent phases of EMPOWER+. The value of a synthesis of this kind lies not only in what it reveals about the current state of rural youth participation across the seven partner countries, but in how directly it informs the design choices that follow. Each strand of the analysis feeds into a defined project output, and the sections below set out those connections so that the transition from research to implementation is explicit and traceable.</w:t>
      </w:r>
    </w:p>
    <w:p w14:paraId="22F420B1" w14:textId="77777777" w:rsidR="004F04E4" w:rsidRPr="00BE4EE4" w:rsidRDefault="004F04E4" w:rsidP="004F04E4">
      <w:pPr>
        <w:jc w:val="both"/>
        <w:rPr>
          <w:rFonts w:ascii="Poppins" w:hAnsi="Poppins" w:cs="Poppins"/>
          <w:lang w:val="en-BE"/>
        </w:rPr>
      </w:pPr>
    </w:p>
    <w:p w14:paraId="6D7047F5" w14:textId="77777777" w:rsidR="004F04E4" w:rsidRPr="00BE4EE4" w:rsidRDefault="004F04E4" w:rsidP="004F04E4">
      <w:pPr>
        <w:jc w:val="both"/>
        <w:rPr>
          <w:rFonts w:ascii="Poppins" w:hAnsi="Poppins" w:cs="Poppins"/>
          <w:lang w:val="en-BE"/>
        </w:rPr>
      </w:pPr>
      <w:r w:rsidRPr="00BE4EE4">
        <w:rPr>
          <w:rFonts w:ascii="Poppins" w:hAnsi="Poppins" w:cs="Poppins"/>
          <w:lang w:val="en-BE"/>
        </w:rPr>
        <w:t xml:space="preserve">The country level evidence and the four design principles in Section 4.4 inform the development of the EMPOWER+ online platform and repository (Deliverable D2.2), which will host the participation tools, legal frameworks, facilitation guides, and </w:t>
      </w:r>
      <w:r w:rsidRPr="00BE4EE4">
        <w:rPr>
          <w:rFonts w:ascii="Poppins" w:hAnsi="Poppins" w:cs="Poppins"/>
          <w:lang w:val="en-BE"/>
        </w:rPr>
        <w:lastRenderedPageBreak/>
        <w:t>community stories identified across the fourteen country reports as a living comparative resource for partners and external users. The platform is conceived not as a static archive but as an evolving knowledge base that grows as Rural Youth Parliament activities generate new material, and the comparative mapping in this report provides its initial content structure. The categorisation of participation tools, the documented best practices, and the legal framework analysis together define the repository's organising logic, ensuring that the platform is populated from the outset with verified, contextually grounded resources rather than generic reference material.</w:t>
      </w:r>
    </w:p>
    <w:p w14:paraId="5C636877" w14:textId="77777777" w:rsidR="004F04E4" w:rsidRPr="00BE4EE4" w:rsidRDefault="004F04E4" w:rsidP="004F04E4">
      <w:pPr>
        <w:jc w:val="both"/>
        <w:rPr>
          <w:rFonts w:ascii="Poppins" w:hAnsi="Poppins" w:cs="Poppins"/>
          <w:lang w:val="en-BE"/>
        </w:rPr>
      </w:pPr>
    </w:p>
    <w:p w14:paraId="07856B95" w14:textId="77777777" w:rsidR="004F04E4" w:rsidRPr="00BE4EE4" w:rsidRDefault="004F04E4" w:rsidP="004F04E4">
      <w:pPr>
        <w:jc w:val="both"/>
        <w:rPr>
          <w:rFonts w:ascii="Poppins" w:hAnsi="Poppins" w:cs="Poppins"/>
          <w:lang w:val="en-BE"/>
        </w:rPr>
      </w:pPr>
      <w:r w:rsidRPr="00BE4EE4">
        <w:rPr>
          <w:rFonts w:ascii="Poppins" w:hAnsi="Poppins" w:cs="Poppins"/>
          <w:lang w:val="en-BE"/>
        </w:rPr>
        <w:t xml:space="preserve">The shared SSA design priorities set out in Section 4.2 and the </w:t>
      </w:r>
      <w:proofErr w:type="gramStart"/>
      <w:r w:rsidRPr="00BE4EE4">
        <w:rPr>
          <w:rFonts w:ascii="Poppins" w:hAnsi="Poppins" w:cs="Poppins"/>
          <w:lang w:val="en-BE"/>
        </w:rPr>
        <w:t>cross cutting</w:t>
      </w:r>
      <w:proofErr w:type="gramEnd"/>
      <w:r w:rsidRPr="00BE4EE4">
        <w:rPr>
          <w:rFonts w:ascii="Poppins" w:hAnsi="Poppins" w:cs="Poppins"/>
          <w:lang w:val="en-BE"/>
        </w:rPr>
        <w:t xml:space="preserve"> recommendations in Section 5 provide the design specification for the Rural Youth Parliament models to be piloted in Botswana, Madagascar, Mauritius, and Nigeria under Work Package 3. The institutional anchoring, accessibility, and inclusion requirements identified here translate into concrete design parameters for each national pilot. The </w:t>
      </w:r>
      <w:proofErr w:type="gramStart"/>
      <w:r w:rsidRPr="00BE4EE4">
        <w:rPr>
          <w:rFonts w:ascii="Poppins" w:hAnsi="Poppins" w:cs="Poppins"/>
          <w:lang w:val="en-BE"/>
        </w:rPr>
        <w:t>in group</w:t>
      </w:r>
      <w:proofErr w:type="gramEnd"/>
      <w:r w:rsidRPr="00BE4EE4">
        <w:rPr>
          <w:rFonts w:ascii="Poppins" w:hAnsi="Poppins" w:cs="Poppins"/>
          <w:lang w:val="en-BE"/>
        </w:rPr>
        <w:t xml:space="preserve"> analysis is particularly consequential at this stage, because it establishes that each of the four Sub-Saharan African countries faces a different primary design challenge despite the structural features they share. The Botswana pilot will need to focus on transforming an existing and culturally legitimate deliberation space into an accountability forum; the Nigeria pilot on legitimising and financing community level structures and connecting them to formal governance authority; the Mauritius pilot on reforming existing structures to remove affiliation dependency; and the Madagascar pilot on building the economic and informational conditions that allow an already strong civic motivation to translate into sustained engagement. These distinctions ensure that the pilots are designed for their specific contexts rather than applied as a single uniform template.</w:t>
      </w:r>
    </w:p>
    <w:p w14:paraId="0D117087" w14:textId="77777777" w:rsidR="004F04E4" w:rsidRPr="00BE4EE4" w:rsidRDefault="004F04E4" w:rsidP="004F04E4">
      <w:pPr>
        <w:jc w:val="both"/>
        <w:rPr>
          <w:rFonts w:ascii="Poppins" w:hAnsi="Poppins" w:cs="Poppins"/>
          <w:lang w:val="en-BE"/>
        </w:rPr>
      </w:pPr>
    </w:p>
    <w:p w14:paraId="247CFAFD" w14:textId="77777777" w:rsidR="004F04E4" w:rsidRPr="00BE4EE4" w:rsidRDefault="004F04E4" w:rsidP="004F04E4">
      <w:pPr>
        <w:jc w:val="both"/>
        <w:rPr>
          <w:rFonts w:ascii="Poppins" w:hAnsi="Poppins" w:cs="Poppins"/>
          <w:lang w:val="en-BE"/>
        </w:rPr>
      </w:pPr>
      <w:r w:rsidRPr="00BE4EE4">
        <w:rPr>
          <w:rFonts w:ascii="Poppins" w:hAnsi="Poppins" w:cs="Poppins"/>
          <w:lang w:val="en-BE"/>
        </w:rPr>
        <w:lastRenderedPageBreak/>
        <w:t>The European to SSA knowledge transfer analysis in Section 4.3 and 4.4 structures the peer learning and capacity building activities, including the adaptation and co design of the Romania Rural Youth Parliament methodology and the Italy YEPP Local Support Group model for each SSA context. The analysis is explicit that this transfer is a process of contextualisation rather than transplantation, and it identifies precisely which elements are directly adaptable, such as the deliberation format and the community action linkage model, and which require fundamental redesign for each setting, most notably the institutional anchoring strategy. This distinction gives the capacity building activities a clear methodological starting point and protects against the risk of importing models that do not fit local governance realities. The knowledge transfer is also designed to be bidirectional, with the Sub-Saharan African evidence on community legitimacy, intergenerational governance, and the role of traditional authority offering lessons relevant to the European partners' own rural participation challenges.</w:t>
      </w:r>
    </w:p>
    <w:p w14:paraId="0D029806" w14:textId="77777777" w:rsidR="004F04E4" w:rsidRPr="00BE4EE4" w:rsidRDefault="004F04E4" w:rsidP="004F04E4">
      <w:pPr>
        <w:jc w:val="both"/>
        <w:rPr>
          <w:rFonts w:ascii="Poppins" w:hAnsi="Poppins" w:cs="Poppins"/>
          <w:lang w:val="en-BE"/>
        </w:rPr>
      </w:pPr>
    </w:p>
    <w:p w14:paraId="69B576CD" w14:textId="77777777" w:rsidR="004F04E4" w:rsidRPr="00BE4EE4" w:rsidRDefault="004F04E4" w:rsidP="004F04E4">
      <w:pPr>
        <w:jc w:val="both"/>
        <w:rPr>
          <w:rFonts w:ascii="Poppins" w:hAnsi="Poppins" w:cs="Poppins"/>
          <w:lang w:val="en-BE"/>
        </w:rPr>
      </w:pPr>
      <w:r w:rsidRPr="00BE4EE4">
        <w:rPr>
          <w:rFonts w:ascii="Poppins" w:hAnsi="Poppins" w:cs="Poppins"/>
          <w:lang w:val="en-BE"/>
        </w:rPr>
        <w:t>The universal gaps identified in Section 4.1, particularly the consultation to co decision deficit and the absence of institutional financing, define the priorities for the project's policy advocacy work. Because these gaps were found to be present across all seven partner countries regardless of income level or institutional tradition, they represent the structural conditions that advocacy must target if Rural Youth Parliaments are to endure beyond the project cycle. The evidence base assembled here gives that advocacy its grounding, allowing partners to make the case for institutional recognition and dedicated financing with reference to comparative findings rather than assertion alone. In this way, the synthesis functions as the analytical bridge between the research phase of Work Package 2 and the implementation phases that follow, ensuring that every subsequent activity is anchored in the evidence rather than designed in isolation from it.</w:t>
      </w:r>
    </w:p>
    <w:p w14:paraId="13E16217" w14:textId="714B43BF" w:rsidR="00F7034B" w:rsidRPr="00BE4EE4" w:rsidRDefault="00000000">
      <w:pPr>
        <w:rPr>
          <w:rFonts w:ascii="Poppins" w:hAnsi="Poppins" w:cs="Poppins"/>
        </w:rPr>
      </w:pPr>
      <w:r w:rsidRPr="00BE4EE4">
        <w:rPr>
          <w:rFonts w:ascii="Poppins" w:hAnsi="Poppins" w:cs="Poppins"/>
        </w:rPr>
        <w:br w:type="page"/>
      </w:r>
    </w:p>
    <w:p w14:paraId="487CD1BD" w14:textId="77777777" w:rsidR="00F7034B" w:rsidRPr="00BE4EE4" w:rsidRDefault="00000000">
      <w:pPr>
        <w:pStyle w:val="Heading1"/>
        <w:keepNext/>
        <w:spacing w:before="360" w:after="120"/>
        <w:rPr>
          <w:rFonts w:ascii="Poppins" w:hAnsi="Poppins" w:cs="Poppins"/>
          <w:color w:val="2F6B3A"/>
        </w:rPr>
      </w:pPr>
      <w:bookmarkStart w:id="38" w:name="_Toc233200040"/>
      <w:r w:rsidRPr="00BE4EE4">
        <w:rPr>
          <w:rFonts w:ascii="Poppins" w:eastAsia="Calibri" w:hAnsi="Poppins" w:cs="Poppins"/>
          <w:color w:val="2F6B3A"/>
        </w:rPr>
        <w:lastRenderedPageBreak/>
        <w:t>5. Cross-Cutting Recommendations for Rural Youth Parliament Design</w:t>
      </w:r>
      <w:bookmarkEnd w:id="38"/>
    </w:p>
    <w:p w14:paraId="77872124"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following recommendations are grounded in comparative analysis of all fourteen country reports. They are structured across six thematic areas and are intended to inform the design of Rural Youth Parliaments, the EMPOWER+ platform, training and capacity-building activities, and policy advocacy work. Each recommendation identifies its primary relevance: SSA, EU, or ALL.</w:t>
      </w:r>
    </w:p>
    <w:p w14:paraId="160F47FC" w14:textId="77777777" w:rsidR="00F7034B" w:rsidRPr="00BE4EE4" w:rsidRDefault="00000000">
      <w:pPr>
        <w:pStyle w:val="Heading2"/>
        <w:keepNext/>
        <w:spacing w:before="280" w:after="80"/>
        <w:rPr>
          <w:rFonts w:ascii="Poppins" w:hAnsi="Poppins" w:cs="Poppins"/>
          <w:color w:val="B7C3A1"/>
        </w:rPr>
      </w:pPr>
      <w:bookmarkStart w:id="39" w:name="_Toc233200041"/>
      <w:r w:rsidRPr="00BE4EE4">
        <w:rPr>
          <w:rFonts w:ascii="Poppins" w:eastAsia="Calibri" w:hAnsi="Poppins" w:cs="Poppins"/>
          <w:color w:val="B7C3A1"/>
        </w:rPr>
        <w:t>Recommendation Area 1: Institutional Anchoring and Legal Recognition</w:t>
      </w:r>
      <w:bookmarkEnd w:id="39"/>
    </w:p>
    <w:p w14:paraId="63494338"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evidence from all seven partner countries is unambiguous: youth participation structures lacking formal institutional anchoring, predictable financing, and legal recognition are episodic at best and tokenistic at worst. Institutional anchoring is a prerequisite for any RYP design that aims to endure beyond a single project cycle.</w:t>
      </w:r>
    </w:p>
    <w:p w14:paraId="0CA4AFC9"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1.1: Anchor RYPs at Sub-National Level [ALL]</w:t>
      </w:r>
    </w:p>
    <w:p w14:paraId="24F86FD6"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Rural Youth Parliaments should operate at the level of the district, Local Government Area, ward, commune, or LAG territory, proximate to rural youth and integrated with local governance processes. This is the level at which the Kgotla, Ward Development Committees, Regional Youth Councils, and the Romanian LAG governance structure all operate, and where institutional anchoring is most feasible.</w:t>
      </w:r>
    </w:p>
    <w:p w14:paraId="69E738F6"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1.2: Seek Formal Institutional Recognition [SSA]</w:t>
      </w:r>
    </w:p>
    <w:p w14:paraId="66811580"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lastRenderedPageBreak/>
        <w:t>The design process for each SSA RYP should include an explicit institutional recognition step: securing formal endorsement from local authorities, mayors, district councils, and traditional leaders before the RYP is launched. A formal resolution or memorandum of understanding provides a basis from which legal entrenchment can be pursued over time.</w:t>
      </w:r>
    </w:p>
    <w:p w14:paraId="0122AB11"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1.3: Advocate for Dedicated Budget Lines [SSA]</w:t>
      </w:r>
    </w:p>
    <w:p w14:paraId="2A095D4E"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Even a modest allocation in a local government annual plan establishes the principle of public financing for the RYP and significantly reduces its dependency on external project funding. Consortium partners in Nigeria and Botswana should engage specifically with LGA treasuries and district finance offices to explore the feasibility of dedicated RYP budget lines within existing youth programme allocations.</w:t>
      </w:r>
    </w:p>
    <w:p w14:paraId="444D40AB"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1.4: Develop a Model Constitutional Framework [ALL]</w:t>
      </w:r>
    </w:p>
    <w:p w14:paraId="62B6C276"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EMPOWER+ should develop an adaptable model constitutional framework for RYPs drawing on the CPA Youth Parliament Toolkit, International IDEA standards, and lessons from the Gombe State Youth Parliament and the Romania RYP methodology, addressing governance structure, representation criteria, deliberation format, proposal submission mechanisms, and accountability closure protocols.</w:t>
      </w:r>
    </w:p>
    <w:p w14:paraId="184F2567" w14:textId="77777777" w:rsidR="00F7034B" w:rsidRPr="00BE4EE4" w:rsidRDefault="00000000">
      <w:pPr>
        <w:pStyle w:val="Heading2"/>
        <w:keepNext/>
        <w:spacing w:before="280" w:after="80"/>
        <w:rPr>
          <w:rFonts w:ascii="Poppins" w:hAnsi="Poppins" w:cs="Poppins"/>
          <w:color w:val="B7C3A1"/>
        </w:rPr>
      </w:pPr>
      <w:bookmarkStart w:id="40" w:name="_Toc233200042"/>
      <w:r w:rsidRPr="00BE4EE4">
        <w:rPr>
          <w:rFonts w:ascii="Poppins" w:eastAsia="Calibri" w:hAnsi="Poppins" w:cs="Poppins"/>
          <w:color w:val="B7C3A1"/>
        </w:rPr>
        <w:t>Recommendation Area 2: From Consultation to Co-Decision</w:t>
      </w:r>
      <w:bookmarkEnd w:id="40"/>
    </w:p>
    <w:p w14:paraId="2F5A8F8D"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most consistent finding across all seven countries is that participation is consultative without being influential. Structural changes are needed in how participation outcomes are processed, communicated, and connected to governance decisions.</w:t>
      </w:r>
    </w:p>
    <w:p w14:paraId="4041D15D"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lastRenderedPageBreak/>
        <w:t>Recommendation 2.1: Build In Decision-Influencing Mechanisms [ALL]</w:t>
      </w:r>
    </w:p>
    <w:p w14:paraId="3809BF04"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Every RYP design should include formal mechanisms for submitting proposals to relevant authorities with defined communication channels, required response timelines, and public tracking of whether and how RYP resolutions are actioned. These mechanisms are the structural difference between a consultation exercise and a genuine deliberative institution.</w:t>
      </w:r>
    </w:p>
    <w:p w14:paraId="68F1DB4F"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2.2: Establish Feedback Loop Protocols [ALL]</w:t>
      </w:r>
    </w:p>
    <w:p w14:paraId="21776441"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Authorities formally engaged with the RYP should be required to respond to RYP outputs within a defined timeframe, recommended at sixty days, with a public explanation of what was accepted, rejected, and why. This single institutional change addresses the most consistently identified driver of youth disengagement across all seven partner countries.</w:t>
      </w:r>
    </w:p>
    <w:p w14:paraId="7C4DE36E"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2.3: Pilot Participatory Budgeting Components [SSA]</w:t>
      </w:r>
    </w:p>
    <w:p w14:paraId="531B00A6"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Where local government partners are willing, EMPOWER+ should pilot participatory budgeting components within or alongside RYP activities, giving youth delegates direct decision-making authority over a defined public resource allocation. Even at small scale, participatory budgeting provides the most powerful demonstration that youth participation produces real outcomes.</w:t>
      </w:r>
    </w:p>
    <w:p w14:paraId="4DF4CCBA" w14:textId="77777777" w:rsidR="00F7034B" w:rsidRPr="00BE4EE4" w:rsidRDefault="00000000">
      <w:pPr>
        <w:pStyle w:val="Heading2"/>
        <w:keepNext/>
        <w:spacing w:before="280" w:after="80"/>
        <w:rPr>
          <w:rFonts w:ascii="Poppins" w:hAnsi="Poppins" w:cs="Poppins"/>
          <w:color w:val="B7C3A1"/>
        </w:rPr>
      </w:pPr>
      <w:bookmarkStart w:id="41" w:name="_Toc233200043"/>
      <w:r w:rsidRPr="00BE4EE4">
        <w:rPr>
          <w:rFonts w:ascii="Poppins" w:eastAsia="Calibri" w:hAnsi="Poppins" w:cs="Poppins"/>
          <w:color w:val="B7C3A1"/>
        </w:rPr>
        <w:t>Recommendation Area 3: Rural Accessibility and Radical Inclusion</w:t>
      </w:r>
      <w:bookmarkEnd w:id="41"/>
    </w:p>
    <w:p w14:paraId="435ECF0A"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3.1: Apply Rural Accessibility Criteria to All Activities [SSA]</w:t>
      </w:r>
    </w:p>
    <w:p w14:paraId="273999D0"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All RYP activities should be assessed against a standard set of rural accessibility criteria: timing that does not conflict with agricultural seasons; locations reachable </w:t>
      </w:r>
      <w:r w:rsidRPr="00BE4EE4">
        <w:rPr>
          <w:rFonts w:ascii="Poppins" w:eastAsia="Calibri" w:hAnsi="Poppins" w:cs="Poppins"/>
          <w:color w:val="1A1A1A"/>
        </w:rPr>
        <w:lastRenderedPageBreak/>
        <w:t>without private transport; per diem or transport support provided as standard practice; information distributed through channels rural youth actually use including community radio and peer networks; and proceedings conducted in local languages with professional facilitation.</w:t>
      </w:r>
    </w:p>
    <w:p w14:paraId="67CE789B"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3.2: Establish Minimum Representation Quotas [SSA]</w:t>
      </w:r>
    </w:p>
    <w:p w14:paraId="76F5CD6A"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RYP constitutions should include enforceable minimum representation quotas: at minimum fifty percent of seats held by young women; specific reserved seats or targeted outreach for youth with disabilities; minimum representation for school dropouts and youth not in education, employment, or training; and mechanisms ensuring that youth from the most remote communities are systematically included.</w:t>
      </w:r>
    </w:p>
    <w:p w14:paraId="4ED6460E"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3.3: Invest in Youth Mediators as Permanent Infrastructure [ALL]</w:t>
      </w:r>
    </w:p>
    <w:p w14:paraId="0D4A6C51"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Youth workers and facilitators who build the participation literacy, confidence, and civic competence that make deliberative participation possible for the most excluded youth are not a project luxury. They are core participation infrastructure. The training and remuneration of community youth workers and RYP facilitators should be built into every RYP operational budget as a non-negotiable item.</w:t>
      </w:r>
    </w:p>
    <w:p w14:paraId="7B2A221C" w14:textId="77777777" w:rsidR="00F7034B" w:rsidRPr="00BE4EE4" w:rsidRDefault="00000000">
      <w:pPr>
        <w:pStyle w:val="Heading2"/>
        <w:keepNext/>
        <w:spacing w:before="280" w:after="80"/>
        <w:rPr>
          <w:rFonts w:ascii="Poppins" w:hAnsi="Poppins" w:cs="Poppins"/>
          <w:color w:val="B7C3A1"/>
        </w:rPr>
      </w:pPr>
      <w:bookmarkStart w:id="42" w:name="_Toc233200044"/>
      <w:r w:rsidRPr="00BE4EE4">
        <w:rPr>
          <w:rFonts w:ascii="Poppins" w:eastAsia="Calibri" w:hAnsi="Poppins" w:cs="Poppins"/>
          <w:color w:val="B7C3A1"/>
        </w:rPr>
        <w:t>Recommendation Area 4: Cultural Sensitivity and Intergenerational Partnership</w:t>
      </w:r>
      <w:bookmarkEnd w:id="42"/>
    </w:p>
    <w:p w14:paraId="1A6B7F57"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4.1: Engage Traditional Leaders as Formal Partners [SSA]</w:t>
      </w:r>
    </w:p>
    <w:p w14:paraId="2900E720"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Chiefs, elders, the Kgosi, and emirate councils should be engaged as active and formal partners in RYP design, launch, and ongoing governance. Their active </w:t>
      </w:r>
      <w:r w:rsidRPr="00BE4EE4">
        <w:rPr>
          <w:rFonts w:ascii="Poppins" w:eastAsia="Calibri" w:hAnsi="Poppins" w:cs="Poppins"/>
          <w:color w:val="1A1A1A"/>
        </w:rPr>
        <w:lastRenderedPageBreak/>
        <w:t>participation in the RYP launch and regular receipt of RYP outputs contribute to the community legitimacy that makes youth voices within the RYP taken seriously.</w:t>
      </w:r>
    </w:p>
    <w:p w14:paraId="22AF8B25"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4.2: Adapt Deliberation Formats to Local Communication Cultures [SSA]</w:t>
      </w:r>
    </w:p>
    <w:p w14:paraId="4379E016"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parliamentary simulation format may require significant adaptation for contexts characterised by oral tradition, storytelling norms, and community assembly communication patterns. The underlying deliberative process is adaptable; the specific parliamentary format is not a fixed requirement. EMPOWER+ should support each SSA partner in co-designing a deliberation format that is culturally resonant for their specific context.</w:t>
      </w:r>
    </w:p>
    <w:p w14:paraId="35967712" w14:textId="77777777" w:rsidR="00F7034B" w:rsidRPr="00BE4EE4" w:rsidRDefault="00000000">
      <w:pPr>
        <w:pStyle w:val="Heading2"/>
        <w:keepNext/>
        <w:spacing w:before="280" w:after="80"/>
        <w:rPr>
          <w:rFonts w:ascii="Poppins" w:hAnsi="Poppins" w:cs="Poppins"/>
          <w:color w:val="B7C3A1"/>
        </w:rPr>
      </w:pPr>
      <w:bookmarkStart w:id="43" w:name="_Toc233200045"/>
      <w:r w:rsidRPr="00BE4EE4">
        <w:rPr>
          <w:rFonts w:ascii="Poppins" w:eastAsia="Calibri" w:hAnsi="Poppins" w:cs="Poppins"/>
          <w:color w:val="B7C3A1"/>
        </w:rPr>
        <w:t>Recommendation Area 5: Sustainable Financing and Impact Monitoring</w:t>
      </w:r>
      <w:bookmarkEnd w:id="43"/>
    </w:p>
    <w:p w14:paraId="6862C787" w14:textId="77777777" w:rsidR="00F7034B" w:rsidRPr="00BE4EE4" w:rsidRDefault="00000000" w:rsidP="002823C1">
      <w:pPr>
        <w:rPr>
          <w:rFonts w:ascii="Poppins" w:hAnsi="Poppins" w:cs="Poppins"/>
        </w:rPr>
      </w:pPr>
      <w:r w:rsidRPr="00BE4EE4">
        <w:rPr>
          <w:rFonts w:ascii="Poppins" w:eastAsia="Calibri" w:hAnsi="Poppins" w:cs="Poppins"/>
          <w:b/>
          <w:bCs/>
          <w:color w:val="1A1A1A"/>
          <w:sz w:val="24"/>
          <w:szCs w:val="24"/>
        </w:rPr>
        <w:t>Recommendation 5.1: Develop Multi-Source Financing Models [ALL]</w:t>
      </w:r>
    </w:p>
    <w:p w14:paraId="308D65A7"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Every RYP should have a financing sustainability plan combining at minimum three sources: a public institutional contribution from local government; civil society facilitation funding from the lead partner organisation; and external co-financing during the project period. The transition plan from external to primarily institutional funding should be explicit and </w:t>
      </w:r>
      <w:proofErr w:type="gramStart"/>
      <w:r w:rsidRPr="00BE4EE4">
        <w:rPr>
          <w:rFonts w:ascii="Poppins" w:eastAsia="Calibri" w:hAnsi="Poppins" w:cs="Poppins"/>
          <w:color w:val="1A1A1A"/>
        </w:rPr>
        <w:t>time-bound</w:t>
      </w:r>
      <w:proofErr w:type="gramEnd"/>
      <w:r w:rsidRPr="00BE4EE4">
        <w:rPr>
          <w:rFonts w:ascii="Poppins" w:eastAsia="Calibri" w:hAnsi="Poppins" w:cs="Poppins"/>
          <w:color w:val="1A1A1A"/>
        </w:rPr>
        <w:t>.</w:t>
      </w:r>
    </w:p>
    <w:p w14:paraId="3B8188D1" w14:textId="77777777" w:rsidR="00F7034B" w:rsidRPr="00BE4EE4" w:rsidRDefault="00000000" w:rsidP="002823C1">
      <w:pPr>
        <w:rPr>
          <w:rFonts w:ascii="Poppins" w:hAnsi="Poppins" w:cs="Poppins"/>
        </w:rPr>
      </w:pPr>
      <w:r w:rsidRPr="00BE4EE4">
        <w:rPr>
          <w:rFonts w:ascii="Poppins" w:eastAsia="Calibri" w:hAnsi="Poppins" w:cs="Poppins"/>
          <w:b/>
          <w:bCs/>
          <w:color w:val="1A1A1A"/>
          <w:sz w:val="24"/>
          <w:szCs w:val="24"/>
        </w:rPr>
        <w:t>Recommendation 5.2: Build Monitoring and Evaluation from Inception [ALL]</w:t>
      </w:r>
    </w:p>
    <w:p w14:paraId="736A88E6"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The monitoring framework for each RYP should track quality indicators beyond simple participation counts: youth comfort expressing views; the degree to which RYP outputs influence governance decisions; representativeness of membership; </w:t>
      </w:r>
      <w:r w:rsidRPr="00BE4EE4">
        <w:rPr>
          <w:rFonts w:ascii="Poppins" w:eastAsia="Calibri" w:hAnsi="Poppins" w:cs="Poppins"/>
          <w:color w:val="1A1A1A"/>
        </w:rPr>
        <w:lastRenderedPageBreak/>
        <w:t>sustainability across project funding periods; and the institutional response rate to RYP proposals.</w:t>
      </w:r>
    </w:p>
    <w:p w14:paraId="5912CAA0" w14:textId="77777777" w:rsidR="00F7034B" w:rsidRPr="00BE4EE4" w:rsidRDefault="00000000" w:rsidP="002823C1">
      <w:pPr>
        <w:rPr>
          <w:rFonts w:ascii="Poppins" w:hAnsi="Poppins" w:cs="Poppins"/>
        </w:rPr>
      </w:pPr>
      <w:r w:rsidRPr="00BE4EE4">
        <w:rPr>
          <w:rFonts w:ascii="Poppins" w:eastAsia="Calibri" w:hAnsi="Poppins" w:cs="Poppins"/>
          <w:b/>
          <w:bCs/>
          <w:color w:val="1A1A1A"/>
          <w:sz w:val="24"/>
          <w:szCs w:val="24"/>
        </w:rPr>
        <w:t>Recommendation 5.3: Establish Sustainability Mechanisms Independent of EMPOWER+ [ALL]</w:t>
      </w:r>
    </w:p>
    <w:p w14:paraId="40F44BB2"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From the first year of RYP operation, deliberate steps should be taken to establish mechanisms that do not depend on EMPOWER+ project funding: training local facilitators to lead without external support; embedding RYP activities in annual governance calendars; and creating peer-to-peer knowledge transfer networks. The measure of success is what endures after the project ends.</w:t>
      </w:r>
    </w:p>
    <w:p w14:paraId="7708B0E5" w14:textId="77777777" w:rsidR="00F7034B" w:rsidRPr="00BE4EE4" w:rsidRDefault="00000000">
      <w:pPr>
        <w:pStyle w:val="Heading2"/>
        <w:keepNext/>
        <w:spacing w:before="280" w:after="80"/>
        <w:rPr>
          <w:rFonts w:ascii="Poppins" w:hAnsi="Poppins" w:cs="Poppins"/>
          <w:color w:val="B7C3A1"/>
        </w:rPr>
      </w:pPr>
      <w:bookmarkStart w:id="44" w:name="_Toc233200046"/>
      <w:r w:rsidRPr="00BE4EE4">
        <w:rPr>
          <w:rFonts w:ascii="Poppins" w:eastAsia="Calibri" w:hAnsi="Poppins" w:cs="Poppins"/>
          <w:color w:val="B7C3A1"/>
        </w:rPr>
        <w:t>Recommendation Area 6: European-SSA Knowledge Exchange</w:t>
      </w:r>
      <w:bookmarkEnd w:id="44"/>
    </w:p>
    <w:p w14:paraId="23773B1A"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6.1: Facilitate Structured Peer Learning [ALL]</w:t>
      </w:r>
    </w:p>
    <w:p w14:paraId="30231C4E"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Specific peer learning exchanges should be structured between partner organisations with complementary expertise: Romania with Nigeria on parliamentary simulation methodology; Italy with Botswana on empowerment approaches; Greece with Mauritius on institutional integration. These exchanges should be documented and lessons fed systematically into the platform knowledge base.</w:t>
      </w:r>
    </w:p>
    <w:p w14:paraId="4E01973B"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t>Recommendation 6.2: Adapt and Pilot European Methodologies [ALL]</w:t>
      </w:r>
    </w:p>
    <w:p w14:paraId="2E13836F"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Romania RYP methodology and Italy's YEPP Local Support Group model should be formally co-designed for each SSA context through a collaborative process before being piloted and evaluated. Co-design is not simply a translation exercise; it requires genuine two-way exchange in which SSA community knowledge shapes the adaptation as much as European methodology does.</w:t>
      </w:r>
    </w:p>
    <w:p w14:paraId="3DA5FA5D" w14:textId="77777777" w:rsidR="00F7034B" w:rsidRPr="00BE4EE4" w:rsidRDefault="00000000" w:rsidP="00527573">
      <w:pPr>
        <w:rPr>
          <w:rFonts w:ascii="Poppins" w:hAnsi="Poppins" w:cs="Poppins"/>
        </w:rPr>
      </w:pPr>
      <w:r w:rsidRPr="00BE4EE4">
        <w:rPr>
          <w:rFonts w:ascii="Poppins" w:eastAsia="Calibri" w:hAnsi="Poppins" w:cs="Poppins"/>
          <w:b/>
          <w:bCs/>
          <w:color w:val="1A1A1A"/>
          <w:sz w:val="24"/>
          <w:szCs w:val="24"/>
        </w:rPr>
        <w:lastRenderedPageBreak/>
        <w:t>Recommendation 6.3: Build the EMPOWER+ Platform as a Living Comparative Resource [ALL]</w:t>
      </w:r>
    </w:p>
    <w:p w14:paraId="23828EBD"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EMPOWER+ online platform should be designed as a living comparative resource: a repository of participation tools, legal frameworks, good practices, facilitation guides, and community stories accessible to youth workers, policymakers, young people, and researchers across all partner countries. Its value depends on multilingual design, offline functionality for rural SSA users, and maintenance after the project period ends.</w:t>
      </w:r>
    </w:p>
    <w:p w14:paraId="62AAB10A" w14:textId="77777777" w:rsidR="00F7034B" w:rsidRPr="00BE4EE4" w:rsidRDefault="00000000">
      <w:pPr>
        <w:rPr>
          <w:rFonts w:ascii="Poppins" w:hAnsi="Poppins" w:cs="Poppins"/>
        </w:rPr>
      </w:pPr>
      <w:r w:rsidRPr="00BE4EE4">
        <w:rPr>
          <w:rFonts w:ascii="Poppins" w:hAnsi="Poppins" w:cs="Poppins"/>
        </w:rPr>
        <w:br w:type="page"/>
      </w:r>
    </w:p>
    <w:p w14:paraId="4956B84E" w14:textId="77777777" w:rsidR="00F7034B" w:rsidRPr="00BE4EE4" w:rsidRDefault="00000000">
      <w:pPr>
        <w:pStyle w:val="Heading1"/>
        <w:keepNext/>
        <w:spacing w:before="360" w:after="120"/>
        <w:rPr>
          <w:rFonts w:ascii="Poppins" w:hAnsi="Poppins" w:cs="Poppins"/>
          <w:color w:val="2F6B3A"/>
        </w:rPr>
      </w:pPr>
      <w:bookmarkStart w:id="45" w:name="_Toc233200047"/>
      <w:r w:rsidRPr="00BE4EE4">
        <w:rPr>
          <w:rFonts w:ascii="Poppins" w:eastAsia="Calibri" w:hAnsi="Poppins" w:cs="Poppins"/>
          <w:color w:val="2F6B3A"/>
        </w:rPr>
        <w:lastRenderedPageBreak/>
        <w:t>6. Conclusion: The Case for Rural Youth Parliaments</w:t>
      </w:r>
      <w:bookmarkEnd w:id="45"/>
    </w:p>
    <w:p w14:paraId="1EE962DA"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research documented in this Synthesis Report tells a consistent and compelling story across seven countries and two continents. Rural young people are capable, motivated, and willing to contribute to the governance of their communities. The Kgotla youth engagement in Botswana, Madagascar's andrimasompokonolona community watch, Nigeria's age-grade associations and Follow the Money youth advocates, Mauritius's YUVA network, Romania's Rural Youth Parliament sessions, Italy's YEPP Local Support Groups, and Greece's Municipal Youth Councils all testify to the same underlying truth: when conditions are right, rural youth participate, innovate, and lead.</w:t>
      </w:r>
    </w:p>
    <w:p w14:paraId="7A8208DA" w14:textId="4E99AEAE"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The problem documented in this report is not a deficit of youth capacity, motivation, or civic energy. It is a deficit of institutional conditions, and the evidence indicates that this deficit is structural, systemic, and persistent across very different national contexts and development levels. Rural young people face participation landscapes where formal rights exist on </w:t>
      </w:r>
      <w:r w:rsidR="00F93779" w:rsidRPr="00BE4EE4">
        <w:rPr>
          <w:rFonts w:ascii="Poppins" w:eastAsia="Calibri" w:hAnsi="Poppins" w:cs="Poppins"/>
          <w:color w:val="1A1A1A"/>
        </w:rPr>
        <w:t>paper,</w:t>
      </w:r>
      <w:r w:rsidRPr="00BE4EE4">
        <w:rPr>
          <w:rFonts w:ascii="Poppins" w:eastAsia="Calibri" w:hAnsi="Poppins" w:cs="Poppins"/>
          <w:color w:val="1A1A1A"/>
        </w:rPr>
        <w:t xml:space="preserve"> but practical access is severely limited; where consultation is </w:t>
      </w:r>
      <w:proofErr w:type="gramStart"/>
      <w:r w:rsidRPr="00BE4EE4">
        <w:rPr>
          <w:rFonts w:ascii="Poppins" w:eastAsia="Calibri" w:hAnsi="Poppins" w:cs="Poppins"/>
          <w:color w:val="1A1A1A"/>
        </w:rPr>
        <w:t>frequent</w:t>
      </w:r>
      <w:proofErr w:type="gramEnd"/>
      <w:r w:rsidRPr="00BE4EE4">
        <w:rPr>
          <w:rFonts w:ascii="Poppins" w:eastAsia="Calibri" w:hAnsi="Poppins" w:cs="Poppins"/>
          <w:color w:val="1A1A1A"/>
        </w:rPr>
        <w:t xml:space="preserve"> but influence is rare; and where the structural barriers of geographic isolation, economic hardship, cultural marginalisation, and absent accountability mechanisms combine to ensure that youth voices are heard without being consequential.</w:t>
      </w:r>
    </w:p>
    <w:p w14:paraId="699A9438"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 xml:space="preserve">The EMPOWER+ project responds to this deficit with a specific, evidence-grounded, and carefully designed intervention: Rural Youth Parliaments anchored at local governance level, backed by institutional recognition and dedicated financing, designed from inception for rural accessibility, culturally rooted in existing community legitimacy, and oriented structurally toward co-decision rather than </w:t>
      </w:r>
      <w:r w:rsidRPr="00BE4EE4">
        <w:rPr>
          <w:rFonts w:ascii="Poppins" w:eastAsia="Calibri" w:hAnsi="Poppins" w:cs="Poppins"/>
          <w:color w:val="1A1A1A"/>
        </w:rPr>
        <w:lastRenderedPageBreak/>
        <w:t>mere consultation. Romania has tested the model. Nigeria has practised parliamentary simulation through the Gombe State Youth Parliament. Mauritius has built biennial national youth parliament infrastructure. Botswana maintains the Kgotla as a living tradition of community deliberation. Madagascar has the most urgent need and the most unanimous mandate for change.</w:t>
      </w:r>
    </w:p>
    <w:p w14:paraId="56ED3F51" w14:textId="27BBAC02" w:rsidR="00EC6265" w:rsidRPr="00BE4EE4" w:rsidRDefault="00000000">
      <w:pPr>
        <w:spacing w:before="60" w:after="100"/>
        <w:jc w:val="both"/>
        <w:rPr>
          <w:rFonts w:ascii="Poppins" w:eastAsia="Calibri" w:hAnsi="Poppins" w:cs="Poppins"/>
          <w:color w:val="1A1A1A"/>
        </w:rPr>
      </w:pPr>
      <w:r w:rsidRPr="00BE4EE4">
        <w:rPr>
          <w:rFonts w:ascii="Poppins" w:eastAsia="Calibri" w:hAnsi="Poppins" w:cs="Poppins"/>
          <w:color w:val="1A1A1A"/>
        </w:rPr>
        <w:t xml:space="preserve">The findings of this report establish the analytical foundation for the project's next phases: </w:t>
      </w:r>
      <w:r w:rsidR="000C6D2B">
        <w:rPr>
          <w:rFonts w:ascii="Poppins" w:eastAsia="Calibri" w:hAnsi="Poppins" w:cs="Poppins"/>
          <w:color w:val="1A1A1A"/>
        </w:rPr>
        <w:t>the parallel development of the EMPOWER+ platform (D2.2), delivered alongside this report</w:t>
      </w:r>
      <w:r w:rsidRPr="00BE4EE4">
        <w:rPr>
          <w:rFonts w:ascii="Poppins" w:eastAsia="Calibri" w:hAnsi="Poppins" w:cs="Poppins"/>
          <w:color w:val="1A1A1A"/>
        </w:rPr>
        <w:t>; the design and piloting of Rural Youth Parliament models in Botswana, Madagascar, Mauritius, and Nigeria in Work Package 3; training and capacity-building activities for youth workers and facilitators; and the policy advocacy work needed to ensure that RYPs secure the institutional recognition and sustainable financing on which their long-term impact depends.</w:t>
      </w:r>
    </w:p>
    <w:p w14:paraId="142BA3BA" w14:textId="77777777" w:rsidR="00EC6265" w:rsidRPr="00BE4EE4" w:rsidRDefault="00EC6265">
      <w:pPr>
        <w:spacing w:before="60" w:after="100"/>
        <w:jc w:val="both"/>
        <w:rPr>
          <w:rFonts w:ascii="Poppins" w:eastAsia="Calibri" w:hAnsi="Poppins" w:cs="Poppins"/>
          <w:color w:val="1A1A1A"/>
        </w:rPr>
      </w:pPr>
    </w:p>
    <w:p w14:paraId="0C04A5C3" w14:textId="77777777" w:rsidR="00EC6265" w:rsidRPr="00BE4EE4" w:rsidRDefault="00EC6265">
      <w:pPr>
        <w:spacing w:before="60" w:after="100"/>
        <w:jc w:val="both"/>
        <w:rPr>
          <w:rFonts w:ascii="Poppins" w:eastAsia="Calibri" w:hAnsi="Poppins" w:cs="Poppins"/>
          <w:color w:val="1A1A1A"/>
        </w:rPr>
      </w:pPr>
    </w:p>
    <w:p w14:paraId="2D36828D" w14:textId="01843082" w:rsidR="00EC6265" w:rsidRPr="00BE4EE4" w:rsidRDefault="00D45941">
      <w:pPr>
        <w:spacing w:before="60" w:after="100"/>
        <w:jc w:val="both"/>
        <w:rPr>
          <w:rFonts w:ascii="Poppins" w:eastAsia="Calibri" w:hAnsi="Poppins" w:cs="Poppins"/>
          <w:color w:val="1A1A1A"/>
        </w:rPr>
      </w:pPr>
      <w:r w:rsidRPr="00BE4EE4">
        <w:rPr>
          <w:rFonts w:ascii="Poppins" w:eastAsia="Calibri" w:hAnsi="Poppins" w:cs="Poppins"/>
          <w:noProof/>
          <w:color w:val="1A1A1A"/>
        </w:rPr>
        <mc:AlternateContent>
          <mc:Choice Requires="wps">
            <w:drawing>
              <wp:anchor distT="0" distB="0" distL="114300" distR="114300" simplePos="0" relativeHeight="251661312" behindDoc="1" locked="0" layoutInCell="1" allowOverlap="1" wp14:anchorId="0F4C807D" wp14:editId="76EF252D">
                <wp:simplePos x="0" y="0"/>
                <wp:positionH relativeFrom="column">
                  <wp:posOffset>-83820</wp:posOffset>
                </wp:positionH>
                <wp:positionV relativeFrom="paragraph">
                  <wp:posOffset>203835</wp:posOffset>
                </wp:positionV>
                <wp:extent cx="5935980" cy="2217420"/>
                <wp:effectExtent l="0" t="0" r="26670" b="11430"/>
                <wp:wrapNone/>
                <wp:docPr id="1202767364" name="Rectangle 5"/>
                <wp:cNvGraphicFramePr/>
                <a:graphic xmlns:a="http://schemas.openxmlformats.org/drawingml/2006/main">
                  <a:graphicData uri="http://schemas.microsoft.com/office/word/2010/wordprocessingShape">
                    <wps:wsp>
                      <wps:cNvSpPr/>
                      <wps:spPr>
                        <a:xfrm>
                          <a:off x="0" y="0"/>
                          <a:ext cx="5935980" cy="221742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ABBC3" id="Rectangle 5" o:spid="_x0000_s1026" style="position:absolute;margin-left:-6.6pt;margin-top:16.05pt;width:467.4pt;height:17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" filled="f" strokecolor="#9bbb59 [3206]">
                <v:stroke joinstyle="round"/>
              </v:rect>
            </w:pict>
          </mc:Fallback>
        </mc:AlternateContent>
      </w:r>
    </w:p>
    <w:p w14:paraId="2FB3E0E5" w14:textId="50C7D2AA" w:rsidR="00527573" w:rsidRPr="00BE4EE4" w:rsidRDefault="00527573">
      <w:pPr>
        <w:spacing w:before="60" w:after="100"/>
        <w:jc w:val="both"/>
        <w:rPr>
          <w:rFonts w:ascii="Poppins" w:eastAsia="Calibri" w:hAnsi="Poppins" w:cs="Poppins"/>
          <w:color w:val="1A1A1A"/>
        </w:rPr>
      </w:pPr>
      <w:r w:rsidRPr="00BE4EE4">
        <w:rPr>
          <w:rFonts w:ascii="Poppins" w:eastAsia="Calibri" w:hAnsi="Poppins" w:cs="Poppins"/>
          <w:b/>
          <w:bCs/>
          <w:i/>
          <w:iCs/>
          <w:color w:val="1A1A1A"/>
        </w:rPr>
        <w:t>The Fundamental Argument:</w:t>
      </w:r>
      <w:r w:rsidRPr="00BE4EE4">
        <w:rPr>
          <w:rFonts w:ascii="Poppins" w:eastAsia="Calibri" w:hAnsi="Poppins" w:cs="Poppins"/>
          <w:i/>
          <w:iCs/>
          <w:color w:val="1A1A1A"/>
        </w:rPr>
        <w:t xml:space="preserve"> Rural young people in Sub-Saharan Africa and in rural Europe are not the passive beneficiaries of development. They are governance actors whose participation makes decisions better, whose energy makes communities more resilient, and whose inclusion makes democracies more legitimate. Rural Youth Parliaments are not a luxury or an add-on to the development agenda. They are an investment in the quality of governance itself, and EMPOWER+ exists to make that investment happen, at scale, sustainably, and with the rigour that this generation of rural youth deserves.</w:t>
      </w:r>
    </w:p>
    <w:p w14:paraId="5A89D675" w14:textId="77777777" w:rsidR="00527573" w:rsidRPr="00BE4EE4" w:rsidRDefault="00527573">
      <w:pPr>
        <w:spacing w:before="60" w:after="100"/>
        <w:jc w:val="both"/>
        <w:rPr>
          <w:rFonts w:ascii="Poppins" w:hAnsi="Poppins" w:cs="Poppins"/>
        </w:rPr>
      </w:pPr>
    </w:p>
    <w:p w14:paraId="4D6ACA49" w14:textId="77777777" w:rsidR="006A4A85" w:rsidRPr="00BE4EE4" w:rsidRDefault="006A4A85">
      <w:pPr>
        <w:spacing w:before="60" w:after="100"/>
        <w:jc w:val="both"/>
        <w:rPr>
          <w:rFonts w:ascii="Poppins" w:hAnsi="Poppins" w:cs="Poppins"/>
        </w:rPr>
      </w:pPr>
    </w:p>
    <w:p w14:paraId="5FFCC161" w14:textId="77777777" w:rsidR="006A4A85" w:rsidRPr="00BE4EE4" w:rsidRDefault="006A4A85">
      <w:pPr>
        <w:spacing w:before="60" w:after="100"/>
        <w:jc w:val="both"/>
        <w:rPr>
          <w:rFonts w:ascii="Poppins" w:hAnsi="Poppins" w:cs="Poppins"/>
        </w:rPr>
      </w:pPr>
    </w:p>
    <w:p w14:paraId="64AFE124" w14:textId="0A83DA3A" w:rsidR="00F7034B" w:rsidRPr="00BE4EE4" w:rsidRDefault="00000000">
      <w:pPr>
        <w:pStyle w:val="Heading1"/>
        <w:keepNext/>
        <w:spacing w:before="360" w:after="120"/>
        <w:rPr>
          <w:rFonts w:ascii="Poppins" w:hAnsi="Poppins" w:cs="Poppins"/>
          <w:color w:val="2F6B3A"/>
        </w:rPr>
      </w:pPr>
      <w:bookmarkStart w:id="46" w:name="_Toc233200048"/>
      <w:r w:rsidRPr="00BE4EE4">
        <w:rPr>
          <w:rFonts w:ascii="Poppins" w:eastAsia="Calibri" w:hAnsi="Poppins" w:cs="Poppins"/>
          <w:color w:val="2F6B3A"/>
        </w:rPr>
        <w:lastRenderedPageBreak/>
        <w:t>Annex A: Country Summary Profiles</w:t>
      </w:r>
      <w:bookmarkEnd w:id="46"/>
    </w:p>
    <w:p w14:paraId="39EC2050" w14:textId="3BF15DCD" w:rsidR="000150FE" w:rsidRPr="00BE4EE4" w:rsidRDefault="000150FE" w:rsidP="000150FE">
      <w:pPr>
        <w:spacing w:before="60" w:after="100"/>
        <w:jc w:val="both"/>
        <w:rPr>
          <w:rFonts w:ascii="Poppins" w:eastAsia="Calibri" w:hAnsi="Poppins" w:cs="Poppins"/>
          <w:color w:val="1A1A1A"/>
          <w:lang w:val="en-BE"/>
        </w:rPr>
      </w:pPr>
      <w:r w:rsidRPr="00BE4EE4">
        <w:rPr>
          <w:rFonts w:ascii="Poppins" w:eastAsia="Calibri" w:hAnsi="Poppins" w:cs="Poppins"/>
          <w:color w:val="1A1A1A"/>
          <w:lang w:val="en-BE"/>
        </w:rPr>
        <w:t xml:space="preserve">The matrix below provides a one view comparison of the seven partner countries across their lead organisations, principal strengths, most binding gaps, and the primary design challenge identified in the </w:t>
      </w:r>
      <w:r w:rsidR="00992880" w:rsidRPr="00BE4EE4">
        <w:rPr>
          <w:rFonts w:ascii="Poppins" w:eastAsia="Calibri" w:hAnsi="Poppins" w:cs="Poppins"/>
          <w:color w:val="1A1A1A"/>
          <w:lang w:val="en-BE"/>
        </w:rPr>
        <w:t>in-group</w:t>
      </w:r>
      <w:r w:rsidRPr="00BE4EE4">
        <w:rPr>
          <w:rFonts w:ascii="Poppins" w:eastAsia="Calibri" w:hAnsi="Poppins" w:cs="Poppins"/>
          <w:color w:val="1A1A1A"/>
          <w:lang w:val="en-BE"/>
        </w:rPr>
        <w:t xml:space="preserve"> analysis. The country profiles that follow provide the supporting detail.</w:t>
      </w:r>
    </w:p>
    <w:tbl>
      <w:tblPr>
        <w:tblStyle w:val="PlainTable1"/>
        <w:tblW w:w="0" w:type="auto"/>
        <w:tblLayout w:type="fixed"/>
        <w:tblLook w:val="04A0" w:firstRow="1" w:lastRow="0" w:firstColumn="1" w:lastColumn="0" w:noHBand="0" w:noVBand="1"/>
      </w:tblPr>
      <w:tblGrid>
        <w:gridCol w:w="1555"/>
        <w:gridCol w:w="992"/>
        <w:gridCol w:w="1579"/>
        <w:gridCol w:w="1629"/>
        <w:gridCol w:w="1681"/>
        <w:gridCol w:w="1583"/>
      </w:tblGrid>
      <w:tr w:rsidR="000150FE" w:rsidRPr="00BE4EE4" w14:paraId="747227DA" w14:textId="77777777" w:rsidTr="00C429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32A06106" w14:textId="77777777" w:rsidR="000150FE" w:rsidRPr="00AA7DB0" w:rsidRDefault="000150FE" w:rsidP="000150FE">
            <w:pPr>
              <w:spacing w:before="60" w:after="100" w:line="276" w:lineRule="auto"/>
              <w:jc w:val="both"/>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Country</w:t>
            </w:r>
          </w:p>
        </w:tc>
        <w:tc>
          <w:tcPr>
            <w:tcW w:w="992" w:type="dxa"/>
            <w:hideMark/>
          </w:tcPr>
          <w:p w14:paraId="4DB6F35A" w14:textId="77777777" w:rsidR="000150FE" w:rsidRPr="00AA7DB0" w:rsidRDefault="000150FE" w:rsidP="000150FE">
            <w:pPr>
              <w:spacing w:before="60" w:after="100" w:line="276" w:lineRule="auto"/>
              <w:jc w:val="both"/>
              <w:cnfStyle w:val="100000000000" w:firstRow="1"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Region</w:t>
            </w:r>
          </w:p>
        </w:tc>
        <w:tc>
          <w:tcPr>
            <w:tcW w:w="1579" w:type="dxa"/>
            <w:hideMark/>
          </w:tcPr>
          <w:p w14:paraId="7EA2AB2B" w14:textId="77777777" w:rsidR="000150FE" w:rsidRPr="00AA7DB0" w:rsidRDefault="000150FE" w:rsidP="000150FE">
            <w:pPr>
              <w:spacing w:before="60" w:after="100" w:line="276" w:lineRule="auto"/>
              <w:jc w:val="both"/>
              <w:cnfStyle w:val="100000000000" w:firstRow="1"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Lead organisation(s)</w:t>
            </w:r>
          </w:p>
        </w:tc>
        <w:tc>
          <w:tcPr>
            <w:tcW w:w="1629" w:type="dxa"/>
            <w:hideMark/>
          </w:tcPr>
          <w:p w14:paraId="418D8AE7" w14:textId="77777777" w:rsidR="000150FE" w:rsidRPr="00AA7DB0" w:rsidRDefault="000150FE" w:rsidP="000150FE">
            <w:pPr>
              <w:spacing w:before="60" w:after="100" w:line="276" w:lineRule="auto"/>
              <w:jc w:val="both"/>
              <w:cnfStyle w:val="100000000000" w:firstRow="1"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Key strength</w:t>
            </w:r>
          </w:p>
        </w:tc>
        <w:tc>
          <w:tcPr>
            <w:tcW w:w="1681" w:type="dxa"/>
            <w:hideMark/>
          </w:tcPr>
          <w:p w14:paraId="6E16AA8A" w14:textId="77777777" w:rsidR="000150FE" w:rsidRPr="00AA7DB0" w:rsidRDefault="000150FE" w:rsidP="000150FE">
            <w:pPr>
              <w:spacing w:before="60" w:after="100" w:line="276" w:lineRule="auto"/>
              <w:jc w:val="both"/>
              <w:cnfStyle w:val="100000000000" w:firstRow="1"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Key gap</w:t>
            </w:r>
          </w:p>
        </w:tc>
        <w:tc>
          <w:tcPr>
            <w:tcW w:w="1583" w:type="dxa"/>
            <w:hideMark/>
          </w:tcPr>
          <w:p w14:paraId="76995C2D" w14:textId="77777777" w:rsidR="000150FE" w:rsidRPr="00AA7DB0" w:rsidRDefault="000150FE" w:rsidP="000150FE">
            <w:pPr>
              <w:spacing w:before="60" w:after="100" w:line="276" w:lineRule="auto"/>
              <w:jc w:val="both"/>
              <w:cnfStyle w:val="100000000000" w:firstRow="1"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Primary design challenge</w:t>
            </w:r>
          </w:p>
        </w:tc>
      </w:tr>
      <w:tr w:rsidR="000150FE" w:rsidRPr="00BE4EE4" w14:paraId="217F2991" w14:textId="77777777" w:rsidTr="00C42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5A6FB9A0" w14:textId="77777777" w:rsidR="000150FE" w:rsidRPr="00AA7DB0" w:rsidRDefault="000150FE" w:rsidP="000150FE">
            <w:pPr>
              <w:spacing w:before="60" w:after="100" w:line="276" w:lineRule="auto"/>
              <w:jc w:val="both"/>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Botswana</w:t>
            </w:r>
          </w:p>
        </w:tc>
        <w:tc>
          <w:tcPr>
            <w:tcW w:w="992" w:type="dxa"/>
            <w:hideMark/>
          </w:tcPr>
          <w:p w14:paraId="0B310A77"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SSA</w:t>
            </w:r>
          </w:p>
        </w:tc>
        <w:tc>
          <w:tcPr>
            <w:tcW w:w="1579" w:type="dxa"/>
            <w:hideMark/>
          </w:tcPr>
          <w:p w14:paraId="736B3AD0" w14:textId="603492B9" w:rsidR="000150FE" w:rsidRPr="00AA7DB0" w:rsidRDefault="00243DDD"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Joseph Mwelwa Consult</w:t>
            </w:r>
            <w:r w:rsidR="000150FE" w:rsidRPr="00AA7DB0">
              <w:rPr>
                <w:rFonts w:ascii="Poppins" w:eastAsia="Calibri" w:hAnsi="Poppins" w:cs="Poppins"/>
                <w:color w:val="1A1A1A"/>
                <w:sz w:val="20"/>
                <w:szCs w:val="20"/>
                <w:lang w:val="en-BE"/>
              </w:rPr>
              <w:t xml:space="preserve"> (JMC) and Tlokweng District Council (TIDC)</w:t>
            </w:r>
          </w:p>
        </w:tc>
        <w:tc>
          <w:tcPr>
            <w:tcW w:w="1629" w:type="dxa"/>
            <w:hideMark/>
          </w:tcPr>
          <w:p w14:paraId="73BC379E"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Culturally legitimate Kgotla system</w:t>
            </w:r>
          </w:p>
        </w:tc>
        <w:tc>
          <w:tcPr>
            <w:tcW w:w="1681" w:type="dxa"/>
            <w:hideMark/>
          </w:tcPr>
          <w:p w14:paraId="16AEA48F"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One directional participation without feedback accountability</w:t>
            </w:r>
          </w:p>
        </w:tc>
        <w:tc>
          <w:tcPr>
            <w:tcW w:w="1583" w:type="dxa"/>
            <w:hideMark/>
          </w:tcPr>
          <w:p w14:paraId="44EBB4AD"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Transforming the Kgotla from a consultation space into a genuine accountability forum</w:t>
            </w:r>
          </w:p>
        </w:tc>
      </w:tr>
      <w:tr w:rsidR="000150FE" w:rsidRPr="00BE4EE4" w14:paraId="79A2BBDD" w14:textId="77777777" w:rsidTr="00C4290F">
        <w:tc>
          <w:tcPr>
            <w:cnfStyle w:val="001000000000" w:firstRow="0" w:lastRow="0" w:firstColumn="1" w:lastColumn="0" w:oddVBand="0" w:evenVBand="0" w:oddHBand="0" w:evenHBand="0" w:firstRowFirstColumn="0" w:firstRowLastColumn="0" w:lastRowFirstColumn="0" w:lastRowLastColumn="0"/>
            <w:tcW w:w="1555" w:type="dxa"/>
            <w:hideMark/>
          </w:tcPr>
          <w:p w14:paraId="266A558D" w14:textId="77777777" w:rsidR="000150FE" w:rsidRPr="00AA7DB0" w:rsidRDefault="000150FE" w:rsidP="000150FE">
            <w:pPr>
              <w:spacing w:before="60" w:after="100" w:line="276" w:lineRule="auto"/>
              <w:jc w:val="both"/>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Madagascar</w:t>
            </w:r>
          </w:p>
        </w:tc>
        <w:tc>
          <w:tcPr>
            <w:tcW w:w="992" w:type="dxa"/>
            <w:hideMark/>
          </w:tcPr>
          <w:p w14:paraId="5860CCB3"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SSA</w:t>
            </w:r>
          </w:p>
        </w:tc>
        <w:tc>
          <w:tcPr>
            <w:tcW w:w="1579" w:type="dxa"/>
            <w:hideMark/>
          </w:tcPr>
          <w:p w14:paraId="1499DE00"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CEMEA Madagascar</w:t>
            </w:r>
          </w:p>
        </w:tc>
        <w:tc>
          <w:tcPr>
            <w:tcW w:w="1629" w:type="dxa"/>
            <w:hideMark/>
          </w:tcPr>
          <w:p w14:paraId="6DE659D9"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Extraordinary grassroots energy and unanimous RYP mandate</w:t>
            </w:r>
          </w:p>
        </w:tc>
        <w:tc>
          <w:tcPr>
            <w:tcW w:w="1681" w:type="dxa"/>
            <w:hideMark/>
          </w:tcPr>
          <w:p w14:paraId="3911CE59"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Severe economic exclusion and weak state capacity</w:t>
            </w:r>
          </w:p>
        </w:tc>
        <w:tc>
          <w:tcPr>
            <w:tcW w:w="1583" w:type="dxa"/>
            <w:hideMark/>
          </w:tcPr>
          <w:p w14:paraId="7B25F130"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 xml:space="preserve">Creating the economic, informational and institutional conditions that let existing motivation translate into </w:t>
            </w:r>
            <w:r w:rsidRPr="00AA7DB0">
              <w:rPr>
                <w:rFonts w:ascii="Poppins" w:eastAsia="Calibri" w:hAnsi="Poppins" w:cs="Poppins"/>
                <w:color w:val="1A1A1A"/>
                <w:sz w:val="20"/>
                <w:szCs w:val="20"/>
                <w:lang w:val="en-BE"/>
              </w:rPr>
              <w:lastRenderedPageBreak/>
              <w:t>sustained engagement</w:t>
            </w:r>
          </w:p>
        </w:tc>
      </w:tr>
      <w:tr w:rsidR="000150FE" w:rsidRPr="00BE4EE4" w14:paraId="125D193C" w14:textId="77777777" w:rsidTr="00C42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730E102F" w14:textId="77777777" w:rsidR="000150FE" w:rsidRPr="00AA7DB0" w:rsidRDefault="000150FE" w:rsidP="000150FE">
            <w:pPr>
              <w:spacing w:before="60" w:after="100" w:line="276" w:lineRule="auto"/>
              <w:jc w:val="both"/>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lastRenderedPageBreak/>
              <w:t>Mauritius</w:t>
            </w:r>
          </w:p>
        </w:tc>
        <w:tc>
          <w:tcPr>
            <w:tcW w:w="992" w:type="dxa"/>
            <w:hideMark/>
          </w:tcPr>
          <w:p w14:paraId="7D8FC17F"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SSA</w:t>
            </w:r>
          </w:p>
        </w:tc>
        <w:tc>
          <w:tcPr>
            <w:tcW w:w="1579" w:type="dxa"/>
            <w:hideMark/>
          </w:tcPr>
          <w:p w14:paraId="0EFF3108"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 xml:space="preserve">Fédération des Maisons </w:t>
            </w:r>
            <w:proofErr w:type="spellStart"/>
            <w:r w:rsidRPr="00AA7DB0">
              <w:rPr>
                <w:rFonts w:ascii="Poppins" w:eastAsia="Calibri" w:hAnsi="Poppins" w:cs="Poppins"/>
                <w:color w:val="1A1A1A"/>
                <w:sz w:val="20"/>
                <w:szCs w:val="20"/>
                <w:lang w:val="en-BE"/>
              </w:rPr>
              <w:t>Familiales</w:t>
            </w:r>
            <w:proofErr w:type="spellEnd"/>
            <w:r w:rsidRPr="00AA7DB0">
              <w:rPr>
                <w:rFonts w:ascii="Poppins" w:eastAsia="Calibri" w:hAnsi="Poppins" w:cs="Poppins"/>
                <w:color w:val="1A1A1A"/>
                <w:sz w:val="20"/>
                <w:szCs w:val="20"/>
                <w:lang w:val="en-BE"/>
              </w:rPr>
              <w:t xml:space="preserve"> Rurales de Maurice et Rodrigues</w:t>
            </w:r>
          </w:p>
        </w:tc>
        <w:tc>
          <w:tcPr>
            <w:tcW w:w="1629" w:type="dxa"/>
            <w:hideMark/>
          </w:tcPr>
          <w:p w14:paraId="6F08B82D"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Most developed institutional ecosystem in the SSA cluster</w:t>
            </w:r>
          </w:p>
        </w:tc>
        <w:tc>
          <w:tcPr>
            <w:tcW w:w="1681" w:type="dxa"/>
            <w:hideMark/>
          </w:tcPr>
          <w:p w14:paraId="3C8E7FFF"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Affiliation dependency excluding independent rural youth</w:t>
            </w:r>
          </w:p>
        </w:tc>
        <w:tc>
          <w:tcPr>
            <w:tcW w:w="1583" w:type="dxa"/>
            <w:hideMark/>
          </w:tcPr>
          <w:p w14:paraId="41D137F9"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Reforming existing structures to remove affiliation dependency and connect agendas to rural livelihoods</w:t>
            </w:r>
          </w:p>
        </w:tc>
      </w:tr>
      <w:tr w:rsidR="000150FE" w:rsidRPr="00BE4EE4" w14:paraId="3A874039" w14:textId="77777777" w:rsidTr="00C4290F">
        <w:tc>
          <w:tcPr>
            <w:cnfStyle w:val="001000000000" w:firstRow="0" w:lastRow="0" w:firstColumn="1" w:lastColumn="0" w:oddVBand="0" w:evenVBand="0" w:oddHBand="0" w:evenHBand="0" w:firstRowFirstColumn="0" w:firstRowLastColumn="0" w:lastRowFirstColumn="0" w:lastRowLastColumn="0"/>
            <w:tcW w:w="1555" w:type="dxa"/>
            <w:hideMark/>
          </w:tcPr>
          <w:p w14:paraId="189DDB1B" w14:textId="77777777" w:rsidR="000150FE" w:rsidRPr="00AA7DB0" w:rsidRDefault="000150FE" w:rsidP="000150FE">
            <w:pPr>
              <w:spacing w:before="60" w:after="100" w:line="276" w:lineRule="auto"/>
              <w:jc w:val="both"/>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Nigeria</w:t>
            </w:r>
          </w:p>
        </w:tc>
        <w:tc>
          <w:tcPr>
            <w:tcW w:w="992" w:type="dxa"/>
            <w:hideMark/>
          </w:tcPr>
          <w:p w14:paraId="7AEB5925"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SSA</w:t>
            </w:r>
          </w:p>
        </w:tc>
        <w:tc>
          <w:tcPr>
            <w:tcW w:w="1579" w:type="dxa"/>
            <w:hideMark/>
          </w:tcPr>
          <w:p w14:paraId="31C7E571"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System Strategy and Policy Lab (SSPL)</w:t>
            </w:r>
          </w:p>
        </w:tc>
        <w:tc>
          <w:tcPr>
            <w:tcW w:w="1629" w:type="dxa"/>
            <w:hideMark/>
          </w:tcPr>
          <w:p w14:paraId="5CB9E369"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Extensive formal architecture and vibrant civil society</w:t>
            </w:r>
          </w:p>
        </w:tc>
        <w:tc>
          <w:tcPr>
            <w:tcW w:w="1681" w:type="dxa"/>
            <w:hideMark/>
          </w:tcPr>
          <w:p w14:paraId="6256184C"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Chronic underfunding and fragmentation between formal and community structures</w:t>
            </w:r>
          </w:p>
        </w:tc>
        <w:tc>
          <w:tcPr>
            <w:tcW w:w="1583" w:type="dxa"/>
            <w:hideMark/>
          </w:tcPr>
          <w:p w14:paraId="1BEEFDB1"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Legitimising, financing and connecting community level structures to formal governance authority</w:t>
            </w:r>
          </w:p>
        </w:tc>
      </w:tr>
      <w:tr w:rsidR="000150FE" w:rsidRPr="00BE4EE4" w14:paraId="6593963F" w14:textId="77777777" w:rsidTr="00C42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71B7AB23" w14:textId="77777777" w:rsidR="000150FE" w:rsidRPr="00AA7DB0" w:rsidRDefault="000150FE" w:rsidP="000150FE">
            <w:pPr>
              <w:spacing w:before="60" w:after="100" w:line="276" w:lineRule="auto"/>
              <w:jc w:val="both"/>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Greece</w:t>
            </w:r>
          </w:p>
        </w:tc>
        <w:tc>
          <w:tcPr>
            <w:tcW w:w="992" w:type="dxa"/>
            <w:hideMark/>
          </w:tcPr>
          <w:p w14:paraId="2E2D5527"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Europe</w:t>
            </w:r>
          </w:p>
        </w:tc>
        <w:tc>
          <w:tcPr>
            <w:tcW w:w="1579" w:type="dxa"/>
            <w:hideMark/>
          </w:tcPr>
          <w:p w14:paraId="1C288154"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Connectus</w:t>
            </w:r>
          </w:p>
        </w:tc>
        <w:tc>
          <w:tcPr>
            <w:tcW w:w="1629" w:type="dxa"/>
            <w:hideMark/>
          </w:tcPr>
          <w:p w14:paraId="58F623EB"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Documented Municipal Youth Council experience</w:t>
            </w:r>
          </w:p>
        </w:tc>
        <w:tc>
          <w:tcPr>
            <w:tcW w:w="1681" w:type="dxa"/>
            <w:hideMark/>
          </w:tcPr>
          <w:p w14:paraId="75CCD53F"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Urban concentration and project funding fragility</w:t>
            </w:r>
          </w:p>
        </w:tc>
        <w:tc>
          <w:tcPr>
            <w:tcW w:w="1583" w:type="dxa"/>
            <w:hideMark/>
          </w:tcPr>
          <w:p w14:paraId="4E1DBAC9"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 xml:space="preserve">Sustaining youth participation structures in rural municipalities beyond </w:t>
            </w:r>
            <w:r w:rsidRPr="00AA7DB0">
              <w:rPr>
                <w:rFonts w:ascii="Poppins" w:eastAsia="Calibri" w:hAnsi="Poppins" w:cs="Poppins"/>
                <w:color w:val="1A1A1A"/>
                <w:sz w:val="20"/>
                <w:szCs w:val="20"/>
                <w:lang w:val="en-BE"/>
              </w:rPr>
              <w:lastRenderedPageBreak/>
              <w:t>project cycles</w:t>
            </w:r>
          </w:p>
        </w:tc>
      </w:tr>
      <w:tr w:rsidR="000150FE" w:rsidRPr="00BE4EE4" w14:paraId="723321D6" w14:textId="77777777" w:rsidTr="00C4290F">
        <w:tc>
          <w:tcPr>
            <w:cnfStyle w:val="001000000000" w:firstRow="0" w:lastRow="0" w:firstColumn="1" w:lastColumn="0" w:oddVBand="0" w:evenVBand="0" w:oddHBand="0" w:evenHBand="0" w:firstRowFirstColumn="0" w:firstRowLastColumn="0" w:lastRowFirstColumn="0" w:lastRowLastColumn="0"/>
            <w:tcW w:w="1555" w:type="dxa"/>
            <w:hideMark/>
          </w:tcPr>
          <w:p w14:paraId="69F7D7EF" w14:textId="77777777" w:rsidR="000150FE" w:rsidRPr="00AA7DB0" w:rsidRDefault="000150FE" w:rsidP="000150FE">
            <w:pPr>
              <w:spacing w:before="60" w:after="100" w:line="276" w:lineRule="auto"/>
              <w:jc w:val="both"/>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lastRenderedPageBreak/>
              <w:t>Italy</w:t>
            </w:r>
          </w:p>
        </w:tc>
        <w:tc>
          <w:tcPr>
            <w:tcW w:w="992" w:type="dxa"/>
            <w:hideMark/>
          </w:tcPr>
          <w:p w14:paraId="6423DEFD"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Europe</w:t>
            </w:r>
          </w:p>
        </w:tc>
        <w:tc>
          <w:tcPr>
            <w:tcW w:w="1579" w:type="dxa"/>
            <w:hideMark/>
          </w:tcPr>
          <w:p w14:paraId="4F2E70B8"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A Rocca</w:t>
            </w:r>
          </w:p>
        </w:tc>
        <w:tc>
          <w:tcPr>
            <w:tcW w:w="1629" w:type="dxa"/>
            <w:hideMark/>
          </w:tcPr>
          <w:p w14:paraId="43A71065"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YEPP Local Support Group empowerment model</w:t>
            </w:r>
          </w:p>
        </w:tc>
        <w:tc>
          <w:tcPr>
            <w:tcW w:w="1681" w:type="dxa"/>
            <w:hideMark/>
          </w:tcPr>
          <w:p w14:paraId="7B2CCC74"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Institutional fragmentation and severe youth unemployment</w:t>
            </w:r>
          </w:p>
        </w:tc>
        <w:tc>
          <w:tcPr>
            <w:tcW w:w="1583" w:type="dxa"/>
            <w:hideMark/>
          </w:tcPr>
          <w:p w14:paraId="00AC6F36" w14:textId="77777777" w:rsidR="000150FE" w:rsidRPr="00AA7DB0" w:rsidRDefault="000150FE" w:rsidP="000150FE">
            <w:pPr>
              <w:spacing w:before="60" w:after="100" w:line="276" w:lineRule="auto"/>
              <w:jc w:val="both"/>
              <w:cnfStyle w:val="000000000000" w:firstRow="0" w:lastRow="0" w:firstColumn="0" w:lastColumn="0" w:oddVBand="0" w:evenVBand="0" w:oddHBand="0"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Combining resources with stable institutional mandate and genuine youth ownership</w:t>
            </w:r>
          </w:p>
        </w:tc>
      </w:tr>
      <w:tr w:rsidR="000150FE" w:rsidRPr="00BE4EE4" w14:paraId="18FF1320" w14:textId="77777777" w:rsidTr="00C42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2EA609ED" w14:textId="77777777" w:rsidR="000150FE" w:rsidRPr="00AA7DB0" w:rsidRDefault="000150FE" w:rsidP="000150FE">
            <w:pPr>
              <w:spacing w:before="60" w:after="100" w:line="276" w:lineRule="auto"/>
              <w:jc w:val="both"/>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Romania</w:t>
            </w:r>
          </w:p>
        </w:tc>
        <w:tc>
          <w:tcPr>
            <w:tcW w:w="992" w:type="dxa"/>
            <w:hideMark/>
          </w:tcPr>
          <w:p w14:paraId="32D79FCA"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Europe</w:t>
            </w:r>
          </w:p>
        </w:tc>
        <w:tc>
          <w:tcPr>
            <w:tcW w:w="1579" w:type="dxa"/>
            <w:hideMark/>
          </w:tcPr>
          <w:p w14:paraId="1519E84B"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LAG Napoca Porolissum</w:t>
            </w:r>
          </w:p>
        </w:tc>
        <w:tc>
          <w:tcPr>
            <w:tcW w:w="1629" w:type="dxa"/>
            <w:hideMark/>
          </w:tcPr>
          <w:p w14:paraId="1DF14BE8"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Tested, fully documented LAG based RYP model</w:t>
            </w:r>
          </w:p>
        </w:tc>
        <w:tc>
          <w:tcPr>
            <w:tcW w:w="1681" w:type="dxa"/>
            <w:hideMark/>
          </w:tcPr>
          <w:p w14:paraId="4CF9C1C5"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Limited rural mediation capacity in dispersed territory</w:t>
            </w:r>
          </w:p>
        </w:tc>
        <w:tc>
          <w:tcPr>
            <w:tcW w:w="1583" w:type="dxa"/>
            <w:hideMark/>
          </w:tcPr>
          <w:p w14:paraId="248B8F24" w14:textId="77777777" w:rsidR="000150FE" w:rsidRPr="00AA7DB0" w:rsidRDefault="000150FE" w:rsidP="000150FE">
            <w:pPr>
              <w:spacing w:before="60" w:after="100" w:line="276" w:lineRule="auto"/>
              <w:jc w:val="both"/>
              <w:cnfStyle w:val="000000100000" w:firstRow="0" w:lastRow="0" w:firstColumn="0" w:lastColumn="0" w:oddVBand="0" w:evenVBand="0" w:oddHBand="1" w:evenHBand="0" w:firstRowFirstColumn="0" w:firstRowLastColumn="0" w:lastRowFirstColumn="0" w:lastRowLastColumn="0"/>
              <w:rPr>
                <w:rFonts w:ascii="Poppins" w:eastAsia="Calibri" w:hAnsi="Poppins" w:cs="Poppins"/>
                <w:color w:val="1A1A1A"/>
                <w:sz w:val="20"/>
                <w:szCs w:val="20"/>
                <w:lang w:val="en-BE"/>
              </w:rPr>
            </w:pPr>
            <w:r w:rsidRPr="00AA7DB0">
              <w:rPr>
                <w:rFonts w:ascii="Poppins" w:eastAsia="Calibri" w:hAnsi="Poppins" w:cs="Poppins"/>
                <w:color w:val="1A1A1A"/>
                <w:sz w:val="20"/>
                <w:szCs w:val="20"/>
                <w:lang w:val="en-BE"/>
              </w:rPr>
              <w:t>Adapting the institutional anchoring strategy for contexts without an equivalent LAG structure</w:t>
            </w:r>
          </w:p>
        </w:tc>
      </w:tr>
    </w:tbl>
    <w:p w14:paraId="121EA669" w14:textId="77777777" w:rsidR="000150FE" w:rsidRDefault="000150FE">
      <w:pPr>
        <w:spacing w:before="60" w:after="100"/>
        <w:jc w:val="both"/>
        <w:rPr>
          <w:rFonts w:ascii="Poppins" w:eastAsia="Calibri" w:hAnsi="Poppins" w:cs="Poppins"/>
          <w:color w:val="1A1A1A"/>
          <w:lang w:val="en-BE"/>
        </w:rPr>
      </w:pPr>
    </w:p>
    <w:p w14:paraId="10ACF176" w14:textId="77777777" w:rsidR="00666D4C" w:rsidRDefault="00666D4C">
      <w:pPr>
        <w:spacing w:before="60" w:after="100"/>
        <w:jc w:val="both"/>
        <w:rPr>
          <w:rFonts w:ascii="Poppins" w:eastAsia="Calibri" w:hAnsi="Poppins" w:cs="Poppins"/>
          <w:color w:val="1A1A1A"/>
          <w:lang w:val="en-BE"/>
        </w:rPr>
      </w:pPr>
    </w:p>
    <w:p w14:paraId="1FA1B93B" w14:textId="77777777" w:rsidR="00666D4C" w:rsidRDefault="00666D4C">
      <w:pPr>
        <w:spacing w:before="60" w:after="100"/>
        <w:jc w:val="both"/>
        <w:rPr>
          <w:rFonts w:ascii="Poppins" w:eastAsia="Calibri" w:hAnsi="Poppins" w:cs="Poppins"/>
          <w:color w:val="1A1A1A"/>
          <w:lang w:val="en-BE"/>
        </w:rPr>
      </w:pPr>
    </w:p>
    <w:p w14:paraId="6B834BF9" w14:textId="77777777" w:rsidR="00666D4C" w:rsidRDefault="00666D4C">
      <w:pPr>
        <w:spacing w:before="60" w:after="100"/>
        <w:jc w:val="both"/>
        <w:rPr>
          <w:rFonts w:ascii="Poppins" w:eastAsia="Calibri" w:hAnsi="Poppins" w:cs="Poppins"/>
          <w:color w:val="1A1A1A"/>
          <w:lang w:val="en-BE"/>
        </w:rPr>
      </w:pPr>
    </w:p>
    <w:p w14:paraId="3DF963CD" w14:textId="77777777" w:rsidR="00666D4C" w:rsidRDefault="00666D4C">
      <w:pPr>
        <w:spacing w:before="60" w:after="100"/>
        <w:jc w:val="both"/>
        <w:rPr>
          <w:rFonts w:ascii="Poppins" w:eastAsia="Calibri" w:hAnsi="Poppins" w:cs="Poppins"/>
          <w:color w:val="1A1A1A"/>
          <w:lang w:val="en-BE"/>
        </w:rPr>
      </w:pPr>
    </w:p>
    <w:p w14:paraId="12EC515A" w14:textId="77777777" w:rsidR="00666D4C" w:rsidRDefault="00666D4C">
      <w:pPr>
        <w:spacing w:before="60" w:after="100"/>
        <w:jc w:val="both"/>
        <w:rPr>
          <w:rFonts w:ascii="Poppins" w:eastAsia="Calibri" w:hAnsi="Poppins" w:cs="Poppins"/>
          <w:color w:val="1A1A1A"/>
          <w:lang w:val="en-BE"/>
        </w:rPr>
      </w:pPr>
    </w:p>
    <w:p w14:paraId="1C70ABBB" w14:textId="77777777" w:rsidR="00666D4C" w:rsidRDefault="00666D4C">
      <w:pPr>
        <w:spacing w:before="60" w:after="100"/>
        <w:jc w:val="both"/>
        <w:rPr>
          <w:rFonts w:ascii="Poppins" w:eastAsia="Calibri" w:hAnsi="Poppins" w:cs="Poppins"/>
          <w:color w:val="1A1A1A"/>
          <w:lang w:val="en-BE"/>
        </w:rPr>
      </w:pPr>
    </w:p>
    <w:p w14:paraId="1FD5FA7F" w14:textId="77777777" w:rsidR="00666D4C" w:rsidRPr="00BE4EE4" w:rsidRDefault="00666D4C">
      <w:pPr>
        <w:spacing w:before="60" w:after="100"/>
        <w:jc w:val="both"/>
        <w:rPr>
          <w:rFonts w:ascii="Poppins" w:eastAsia="Calibri" w:hAnsi="Poppins" w:cs="Poppins"/>
          <w:color w:val="1A1A1A"/>
          <w:lang w:val="en-BE"/>
        </w:rPr>
      </w:pPr>
    </w:p>
    <w:p w14:paraId="6818E2AD" w14:textId="21A06819" w:rsidR="00D45941" w:rsidRPr="00D45941" w:rsidRDefault="00000000">
      <w:pPr>
        <w:spacing w:before="60" w:after="100"/>
        <w:jc w:val="both"/>
        <w:rPr>
          <w:rFonts w:ascii="Poppins" w:eastAsia="Calibri" w:hAnsi="Poppins" w:cs="Poppins"/>
          <w:color w:val="1A1A1A"/>
        </w:rPr>
      </w:pPr>
      <w:r w:rsidRPr="00BE4EE4">
        <w:rPr>
          <w:rFonts w:ascii="Poppins" w:eastAsia="Calibri" w:hAnsi="Poppins" w:cs="Poppins"/>
          <w:color w:val="1A1A1A"/>
        </w:rPr>
        <w:lastRenderedPageBreak/>
        <w:t>The following profiles consolidate the key findings for each of the seven partner countries across both Task 2.1 and Task 2.2 outputs. They are designed for rapid reference and for audiences who require country-specific information without reading the full analytical narrative.</w:t>
      </w:r>
    </w:p>
    <w:p w14:paraId="6FF0AD3C" w14:textId="77777777" w:rsidR="00F7034B" w:rsidRPr="00BE4EE4" w:rsidRDefault="00000000">
      <w:pPr>
        <w:pStyle w:val="Heading2"/>
        <w:keepNext/>
        <w:spacing w:before="280" w:after="80"/>
        <w:rPr>
          <w:rFonts w:ascii="Poppins" w:hAnsi="Poppins" w:cs="Poppins"/>
          <w:color w:val="B7C3A1"/>
        </w:rPr>
      </w:pPr>
      <w:bookmarkStart w:id="47" w:name="_Toc233200049"/>
      <w:r w:rsidRPr="00BE4EE4">
        <w:rPr>
          <w:rFonts w:ascii="Poppins" w:eastAsia="Calibri" w:hAnsi="Poppins" w:cs="Poppins"/>
          <w:color w:val="B7C3A1"/>
        </w:rPr>
        <w:t>Botswana</w:t>
      </w:r>
      <w:bookmarkEnd w:id="47"/>
    </w:p>
    <w:p w14:paraId="7F32C131"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Region: </w:t>
      </w:r>
      <w:r w:rsidRPr="00BE4EE4">
        <w:rPr>
          <w:rFonts w:ascii="Poppins" w:eastAsia="Calibri" w:hAnsi="Poppins" w:cs="Poppins"/>
          <w:color w:val="1A1A1A"/>
        </w:rPr>
        <w:t>Sub-Saharan Africa</w:t>
      </w:r>
    </w:p>
    <w:p w14:paraId="592A724E" w14:textId="498B7A8B"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Lead Organisation(s): </w:t>
      </w:r>
      <w:r w:rsidR="00243DDD" w:rsidRPr="00BE4EE4">
        <w:rPr>
          <w:rFonts w:ascii="Poppins" w:eastAsia="Calibri" w:hAnsi="Poppins" w:cs="Poppins"/>
          <w:color w:val="1A1A1A"/>
        </w:rPr>
        <w:t>Joseph Mwelwa Consult</w:t>
      </w:r>
      <w:r w:rsidRPr="00BE4EE4">
        <w:rPr>
          <w:rFonts w:ascii="Poppins" w:eastAsia="Calibri" w:hAnsi="Poppins" w:cs="Poppins"/>
          <w:color w:val="1A1A1A"/>
        </w:rPr>
        <w:t xml:space="preserve"> </w:t>
      </w:r>
      <w:r w:rsidR="005A61F4" w:rsidRPr="00BE4EE4">
        <w:rPr>
          <w:rFonts w:ascii="Poppins" w:eastAsia="Calibri" w:hAnsi="Poppins" w:cs="Poppins"/>
          <w:color w:val="1A1A1A"/>
        </w:rPr>
        <w:t xml:space="preserve">(JMC) </w:t>
      </w:r>
      <w:r w:rsidRPr="00BE4EE4">
        <w:rPr>
          <w:rFonts w:ascii="Poppins" w:eastAsia="Calibri" w:hAnsi="Poppins" w:cs="Poppins"/>
          <w:color w:val="1A1A1A"/>
        </w:rPr>
        <w:t>and Tlokweng District Council</w:t>
      </w:r>
      <w:r w:rsidR="005A61F4" w:rsidRPr="00BE4EE4">
        <w:rPr>
          <w:rFonts w:ascii="Poppins" w:eastAsia="Calibri" w:hAnsi="Poppins" w:cs="Poppins"/>
          <w:color w:val="1A1A1A"/>
        </w:rPr>
        <w:t xml:space="preserve"> (TIDC)</w:t>
      </w:r>
    </w:p>
    <w:p w14:paraId="4C6FFDC4"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Policy Framework: </w:t>
      </w:r>
      <w:r w:rsidRPr="00BE4EE4">
        <w:rPr>
          <w:rFonts w:ascii="Poppins" w:eastAsia="Calibri" w:hAnsi="Poppins" w:cs="Poppins"/>
          <w:color w:val="1A1A1A"/>
        </w:rPr>
        <w:t>Revised National Youth Policy (2010); African Youth Charter</w:t>
      </w:r>
    </w:p>
    <w:p w14:paraId="7F672376"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Key Strengths: </w:t>
      </w:r>
      <w:r w:rsidRPr="00BE4EE4">
        <w:rPr>
          <w:rFonts w:ascii="Poppins" w:eastAsia="Calibri" w:hAnsi="Poppins" w:cs="Poppins"/>
          <w:color w:val="1A1A1A"/>
        </w:rPr>
        <w:t>Culturally legitimate Kgotla system; active Youth Development Fund; vibrant civil society including Youth Unlimited; two structured multi-stakeholder FGDs providing strong primary evidence.</w:t>
      </w:r>
    </w:p>
    <w:p w14:paraId="32C86F36"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Key Gaps: </w:t>
      </w:r>
      <w:r w:rsidRPr="00BE4EE4">
        <w:rPr>
          <w:rFonts w:ascii="Poppins" w:eastAsia="Calibri" w:hAnsi="Poppins" w:cs="Poppins"/>
          <w:color w:val="1A1A1A"/>
        </w:rPr>
        <w:t>One-directional participation without feedback accountability; "too young to lead" cultural norm; digital inequality in rural areas; timing barriers conflicting with livelihoods.</w:t>
      </w:r>
    </w:p>
    <w:p w14:paraId="4E5F4282"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Best Practices: </w:t>
      </w:r>
      <w:r w:rsidRPr="00BE4EE4">
        <w:rPr>
          <w:rFonts w:ascii="Poppins" w:eastAsia="Calibri" w:hAnsi="Poppins" w:cs="Poppins"/>
          <w:color w:val="1A1A1A"/>
        </w:rPr>
        <w:t>Kgotla as deliberation venue; national Youth Parliament simulation model; civil society participation literacy training.</w:t>
      </w:r>
    </w:p>
    <w:p w14:paraId="5C051CB5" w14:textId="4B2B3853" w:rsidR="00172BFB" w:rsidRPr="00BE4EE4" w:rsidRDefault="00000000">
      <w:pPr>
        <w:spacing w:before="40" w:after="40"/>
        <w:rPr>
          <w:rFonts w:ascii="Poppins" w:eastAsia="Calibri" w:hAnsi="Poppins" w:cs="Poppins"/>
          <w:color w:val="1A1A1A"/>
        </w:rPr>
      </w:pPr>
      <w:r w:rsidRPr="00BE4EE4">
        <w:rPr>
          <w:rFonts w:ascii="Poppins" w:eastAsia="Calibri" w:hAnsi="Poppins" w:cs="Poppins"/>
          <w:b/>
          <w:bCs/>
          <w:color w:val="000000" w:themeColor="text1"/>
        </w:rPr>
        <w:t xml:space="preserve">Task 2.2 Methodology: </w:t>
      </w:r>
      <w:r w:rsidRPr="00BE4EE4">
        <w:rPr>
          <w:rFonts w:ascii="Poppins" w:eastAsia="Calibri" w:hAnsi="Poppins" w:cs="Poppins"/>
          <w:color w:val="1A1A1A"/>
        </w:rPr>
        <w:t>Two multi-stakeholder FGDs in Mogobane and Tlokweng with detailed evidence on tool accessibility, relevance, and effectiveness.</w:t>
      </w:r>
    </w:p>
    <w:p w14:paraId="5E33D49D" w14:textId="77777777" w:rsidR="00F7034B" w:rsidRPr="00BE4EE4" w:rsidRDefault="00000000">
      <w:pPr>
        <w:pStyle w:val="Heading2"/>
        <w:keepNext/>
        <w:spacing w:before="280" w:after="80"/>
        <w:rPr>
          <w:rFonts w:ascii="Poppins" w:hAnsi="Poppins" w:cs="Poppins"/>
          <w:color w:val="B7C3A1"/>
        </w:rPr>
      </w:pPr>
      <w:bookmarkStart w:id="48" w:name="_Toc233200050"/>
      <w:r w:rsidRPr="00BE4EE4">
        <w:rPr>
          <w:rFonts w:ascii="Poppins" w:eastAsia="Calibri" w:hAnsi="Poppins" w:cs="Poppins"/>
          <w:color w:val="B7C3A1"/>
        </w:rPr>
        <w:t>Madagascar</w:t>
      </w:r>
      <w:bookmarkEnd w:id="48"/>
    </w:p>
    <w:p w14:paraId="057065A1"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Region: </w:t>
      </w:r>
      <w:r w:rsidRPr="00BE4EE4">
        <w:rPr>
          <w:rFonts w:ascii="Poppins" w:eastAsia="Calibri" w:hAnsi="Poppins" w:cs="Poppins"/>
          <w:color w:val="1A1A1A"/>
        </w:rPr>
        <w:t>Sub-Saharan Africa</w:t>
      </w:r>
    </w:p>
    <w:p w14:paraId="43F775C1" w14:textId="70C475F6" w:rsidR="00F7034B" w:rsidRPr="00BE4EE4" w:rsidRDefault="00000000">
      <w:pPr>
        <w:spacing w:before="40" w:after="40"/>
        <w:rPr>
          <w:rFonts w:ascii="Poppins" w:hAnsi="Poppins" w:cs="Poppins"/>
        </w:rPr>
      </w:pPr>
      <w:r w:rsidRPr="00BE4EE4">
        <w:rPr>
          <w:rFonts w:ascii="Poppins" w:eastAsia="Calibri" w:hAnsi="Poppins" w:cs="Poppins"/>
          <w:b/>
          <w:bCs/>
        </w:rPr>
        <w:t xml:space="preserve">Lead Organisation(s): </w:t>
      </w:r>
      <w:r w:rsidR="002D00CE" w:rsidRPr="00BE4EE4">
        <w:rPr>
          <w:rFonts w:ascii="Poppins" w:eastAsia="Calibri" w:hAnsi="Poppins" w:cs="Poppins"/>
        </w:rPr>
        <w:t xml:space="preserve">Centres </w:t>
      </w:r>
      <w:proofErr w:type="spellStart"/>
      <w:r w:rsidR="002D00CE" w:rsidRPr="00BE4EE4">
        <w:rPr>
          <w:rFonts w:ascii="Poppins" w:eastAsia="Calibri" w:hAnsi="Poppins" w:cs="Poppins"/>
        </w:rPr>
        <w:t>d'Entraînement</w:t>
      </w:r>
      <w:proofErr w:type="spellEnd"/>
      <w:r w:rsidR="002D00CE" w:rsidRPr="00BE4EE4">
        <w:rPr>
          <w:rFonts w:ascii="Poppins" w:eastAsia="Calibri" w:hAnsi="Poppins" w:cs="Poppins"/>
        </w:rPr>
        <w:t xml:space="preserve"> aux </w:t>
      </w:r>
      <w:proofErr w:type="spellStart"/>
      <w:r w:rsidR="002D00CE" w:rsidRPr="00BE4EE4">
        <w:rPr>
          <w:rFonts w:ascii="Poppins" w:eastAsia="Calibri" w:hAnsi="Poppins" w:cs="Poppins"/>
        </w:rPr>
        <w:t>Méthodes</w:t>
      </w:r>
      <w:proofErr w:type="spellEnd"/>
      <w:r w:rsidR="002D00CE" w:rsidRPr="00BE4EE4">
        <w:rPr>
          <w:rFonts w:ascii="Poppins" w:eastAsia="Calibri" w:hAnsi="Poppins" w:cs="Poppins"/>
        </w:rPr>
        <w:t xml:space="preserve"> </w:t>
      </w:r>
      <w:proofErr w:type="spellStart"/>
      <w:r w:rsidR="002D00CE" w:rsidRPr="00BE4EE4">
        <w:rPr>
          <w:rFonts w:ascii="Poppins" w:eastAsia="Calibri" w:hAnsi="Poppins" w:cs="Poppins"/>
        </w:rPr>
        <w:t>d'Éducation</w:t>
      </w:r>
      <w:proofErr w:type="spellEnd"/>
      <w:r w:rsidR="002D00CE" w:rsidRPr="00BE4EE4">
        <w:rPr>
          <w:rFonts w:ascii="Poppins" w:eastAsia="Calibri" w:hAnsi="Poppins" w:cs="Poppins"/>
        </w:rPr>
        <w:t xml:space="preserve"> Active de Madagascar</w:t>
      </w:r>
      <w:r w:rsidR="002D00CE" w:rsidRPr="00BE4EE4">
        <w:rPr>
          <w:rFonts w:ascii="Poppins" w:eastAsia="Calibri" w:hAnsi="Poppins" w:cs="Poppins"/>
          <w:b/>
          <w:bCs/>
        </w:rPr>
        <w:t xml:space="preserve"> </w:t>
      </w:r>
      <w:r w:rsidR="002D00CE" w:rsidRPr="00BE4EE4">
        <w:rPr>
          <w:rFonts w:ascii="Poppins" w:eastAsia="Calibri" w:hAnsi="Poppins" w:cs="Poppins"/>
        </w:rPr>
        <w:t>(</w:t>
      </w:r>
      <w:r w:rsidRPr="00BE4EE4">
        <w:rPr>
          <w:rFonts w:ascii="Poppins" w:eastAsia="Calibri" w:hAnsi="Poppins" w:cs="Poppins"/>
          <w:color w:val="1A1A1A"/>
        </w:rPr>
        <w:t>CEMEA</w:t>
      </w:r>
      <w:r w:rsidR="002D00CE" w:rsidRPr="00BE4EE4">
        <w:rPr>
          <w:rFonts w:ascii="Poppins" w:eastAsia="Calibri" w:hAnsi="Poppins" w:cs="Poppins"/>
          <w:color w:val="1A1A1A"/>
        </w:rPr>
        <w:t>)</w:t>
      </w:r>
    </w:p>
    <w:p w14:paraId="076D43A9" w14:textId="77777777" w:rsidR="00F7034B" w:rsidRPr="00BE4EE4" w:rsidRDefault="00000000">
      <w:pPr>
        <w:spacing w:before="40" w:after="40"/>
        <w:rPr>
          <w:rFonts w:ascii="Poppins" w:hAnsi="Poppins" w:cs="Poppins"/>
        </w:rPr>
      </w:pPr>
      <w:r w:rsidRPr="00BE4EE4">
        <w:rPr>
          <w:rFonts w:ascii="Poppins" w:eastAsia="Calibri" w:hAnsi="Poppins" w:cs="Poppins"/>
          <w:b/>
          <w:bCs/>
        </w:rPr>
        <w:lastRenderedPageBreak/>
        <w:t xml:space="preserve">Policy Framework: </w:t>
      </w:r>
      <w:r w:rsidRPr="00BE4EE4">
        <w:rPr>
          <w:rFonts w:ascii="Poppins" w:eastAsia="Calibri" w:hAnsi="Poppins" w:cs="Poppins"/>
          <w:color w:val="1A1A1A"/>
        </w:rPr>
        <w:t>Plan d'Emergence de Madagascar; Communal Development Plans; Ministry of Youth and Sport mandate</w:t>
      </w:r>
    </w:p>
    <w:p w14:paraId="05C95602"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Key Strengths: </w:t>
      </w:r>
      <w:r w:rsidRPr="00BE4EE4">
        <w:rPr>
          <w:rFonts w:ascii="Poppins" w:eastAsia="Calibri" w:hAnsi="Poppins" w:cs="Poppins"/>
          <w:color w:val="1A1A1A"/>
        </w:rPr>
        <w:t>Extraordinary grassroots associational energy; andrimasompokonolona civic role; vibrant scouting movements; unanimous RYP support from all thirty-four Task 2.1 stakeholders.</w:t>
      </w:r>
    </w:p>
    <w:p w14:paraId="17F53344"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Key Gaps: </w:t>
      </w:r>
      <w:r w:rsidRPr="00BE4EE4">
        <w:rPr>
          <w:rFonts w:ascii="Poppins" w:eastAsia="Calibri" w:hAnsi="Poppins" w:cs="Poppins"/>
          <w:color w:val="1A1A1A"/>
        </w:rPr>
        <w:t>Severe economic exclusion creating direct financial barriers; deep intergenerational power imbalances; information deficits; very weak state institutional capacity in rural areas; formal participation concentrated near the capital.</w:t>
      </w:r>
    </w:p>
    <w:p w14:paraId="34BC7572"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Best Practices: </w:t>
      </w:r>
      <w:r w:rsidRPr="00BE4EE4">
        <w:rPr>
          <w:rFonts w:ascii="Poppins" w:eastAsia="Calibri" w:hAnsi="Poppins" w:cs="Poppins"/>
          <w:color w:val="1A1A1A"/>
        </w:rPr>
        <w:t>Andrimasompokonolona model; scouting and civic associations; school-based civic rights education.</w:t>
      </w:r>
    </w:p>
    <w:p w14:paraId="3CF263AA" w14:textId="2727494D" w:rsidR="00F7034B" w:rsidRPr="00BE4EE4" w:rsidRDefault="00000000">
      <w:pPr>
        <w:spacing w:before="40" w:after="40"/>
        <w:rPr>
          <w:rFonts w:ascii="Poppins" w:hAnsi="Poppins" w:cs="Poppins"/>
        </w:rPr>
      </w:pPr>
      <w:r w:rsidRPr="00BE4EE4">
        <w:rPr>
          <w:rFonts w:ascii="Poppins" w:eastAsia="Calibri" w:hAnsi="Poppins" w:cs="Poppins"/>
          <w:b/>
          <w:bCs/>
        </w:rPr>
        <w:t xml:space="preserve">Task 2.2 Methodology: </w:t>
      </w:r>
      <w:r w:rsidR="008934FF" w:rsidRPr="00BE4EE4">
        <w:rPr>
          <w:rFonts w:ascii="Poppins" w:eastAsia="Calibri" w:hAnsi="Poppins" w:cs="Poppins"/>
        </w:rPr>
        <w:t>Focus group discussions with eight to twelve participants per session, aged fifteen to thirty, across selected rural districts. Interactive methodology including dot voting and structured discussion guides. Five key themes explored: education and skills, employment, youth participation, gender equality, and community development needs.</w:t>
      </w:r>
    </w:p>
    <w:p w14:paraId="54582F47" w14:textId="77777777" w:rsidR="00F7034B" w:rsidRPr="00BE4EE4" w:rsidRDefault="00000000">
      <w:pPr>
        <w:pStyle w:val="Heading2"/>
        <w:keepNext/>
        <w:spacing w:before="280" w:after="80"/>
        <w:rPr>
          <w:rFonts w:ascii="Poppins" w:hAnsi="Poppins" w:cs="Poppins"/>
          <w:color w:val="B7C3A1"/>
        </w:rPr>
      </w:pPr>
      <w:bookmarkStart w:id="49" w:name="_Toc233200051"/>
      <w:r w:rsidRPr="00BE4EE4">
        <w:rPr>
          <w:rFonts w:ascii="Poppins" w:eastAsia="Calibri" w:hAnsi="Poppins" w:cs="Poppins"/>
          <w:color w:val="B7C3A1"/>
        </w:rPr>
        <w:t>Mauritius</w:t>
      </w:r>
      <w:bookmarkEnd w:id="49"/>
    </w:p>
    <w:p w14:paraId="561A92CE"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Region: </w:t>
      </w:r>
      <w:r w:rsidRPr="00BE4EE4">
        <w:rPr>
          <w:rFonts w:ascii="Poppins" w:eastAsia="Calibri" w:hAnsi="Poppins" w:cs="Poppins"/>
          <w:color w:val="1A1A1A"/>
        </w:rPr>
        <w:t>Sub-Saharan Africa</w:t>
      </w:r>
    </w:p>
    <w:p w14:paraId="547EC4C6" w14:textId="50E52797" w:rsidR="00F7034B" w:rsidRPr="00BE4EE4" w:rsidRDefault="00000000">
      <w:pPr>
        <w:spacing w:before="40" w:after="40"/>
        <w:rPr>
          <w:rFonts w:ascii="Poppins" w:hAnsi="Poppins" w:cs="Poppins"/>
        </w:rPr>
      </w:pPr>
      <w:r w:rsidRPr="00BE4EE4">
        <w:rPr>
          <w:rFonts w:ascii="Poppins" w:eastAsia="Calibri" w:hAnsi="Poppins" w:cs="Poppins"/>
          <w:b/>
          <w:bCs/>
        </w:rPr>
        <w:t>Lead Organisation(s):</w:t>
      </w:r>
      <w:r w:rsidR="005A61F4" w:rsidRPr="00BE4EE4">
        <w:rPr>
          <w:rFonts w:ascii="Poppins" w:eastAsia="Calibri" w:hAnsi="Poppins" w:cs="Poppins"/>
          <w:b/>
          <w:bCs/>
        </w:rPr>
        <w:t xml:space="preserve"> </w:t>
      </w:r>
      <w:r w:rsidR="005A61F4" w:rsidRPr="00BE4EE4">
        <w:rPr>
          <w:rFonts w:ascii="Poppins" w:eastAsia="Calibri" w:hAnsi="Poppins" w:cs="Poppins"/>
        </w:rPr>
        <w:t>Fédération des Maisons Familiales Rurales de Maurice et Rodrigues (MFFR Maurice)</w:t>
      </w:r>
    </w:p>
    <w:p w14:paraId="1E4FB4E7"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Policy Framework: </w:t>
      </w:r>
      <w:r w:rsidRPr="00BE4EE4">
        <w:rPr>
          <w:rFonts w:ascii="Poppins" w:eastAsia="Calibri" w:hAnsi="Poppins" w:cs="Poppins"/>
          <w:color w:val="1A1A1A"/>
        </w:rPr>
        <w:t>National Youth Council Act (1998); National Youth Policy (2016); National Youth Development Programme</w:t>
      </w:r>
    </w:p>
    <w:p w14:paraId="72DBB4A4"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Key Strengths: </w:t>
      </w:r>
      <w:r w:rsidRPr="00BE4EE4">
        <w:rPr>
          <w:rFonts w:ascii="Poppins" w:eastAsia="Calibri" w:hAnsi="Poppins" w:cs="Poppins"/>
          <w:color w:val="1A1A1A"/>
        </w:rPr>
        <w:t>Regional Youth Councils in every district including Rodrigues; Youth Centres in rural areas; YUVA NGO with agile rural empowerment programming; sustained best practices including Maisons Familiales Rurales and DIS-MOI Youth Clubs.</w:t>
      </w:r>
    </w:p>
    <w:p w14:paraId="71ADF6A7" w14:textId="77777777" w:rsidR="00F7034B" w:rsidRPr="00BE4EE4" w:rsidRDefault="00000000">
      <w:pPr>
        <w:spacing w:before="40" w:after="40"/>
        <w:rPr>
          <w:rFonts w:ascii="Poppins" w:hAnsi="Poppins" w:cs="Poppins"/>
        </w:rPr>
      </w:pPr>
      <w:r w:rsidRPr="00BE4EE4">
        <w:rPr>
          <w:rFonts w:ascii="Poppins" w:eastAsia="Calibri" w:hAnsi="Poppins" w:cs="Poppins"/>
          <w:b/>
          <w:bCs/>
        </w:rPr>
        <w:lastRenderedPageBreak/>
        <w:t xml:space="preserve">Key Gaps: </w:t>
      </w:r>
      <w:r w:rsidRPr="00BE4EE4">
        <w:rPr>
          <w:rFonts w:ascii="Poppins" w:eastAsia="Calibri" w:hAnsi="Poppins" w:cs="Poppins"/>
          <w:color w:val="1A1A1A"/>
        </w:rPr>
        <w:t>Affiliation dependency limiting independent rural youth access; low agricultural engagement; weak policy monitoring; digital and geographic divides particularly affecting Rodrigues.</w:t>
      </w:r>
    </w:p>
    <w:p w14:paraId="39DC6745"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Best Practices: </w:t>
      </w:r>
      <w:r w:rsidRPr="00BE4EE4">
        <w:rPr>
          <w:rFonts w:ascii="Poppins" w:eastAsia="Calibri" w:hAnsi="Poppins" w:cs="Poppins"/>
          <w:color w:val="1A1A1A"/>
        </w:rPr>
        <w:t>YUVA Rural Youth Empowerment Project; Maisons Familiales Rurales; DIS-MOI Youth Clubs; Mauritius Youth Parliament.</w:t>
      </w:r>
    </w:p>
    <w:p w14:paraId="57728C9E"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Task 2.2 Methodology: </w:t>
      </w:r>
      <w:r w:rsidRPr="00BE4EE4">
        <w:rPr>
          <w:rFonts w:ascii="Poppins" w:eastAsia="Calibri" w:hAnsi="Poppins" w:cs="Poppins"/>
          <w:color w:val="1A1A1A"/>
        </w:rPr>
        <w:t>Focus groups with twenty-five young people from urban and rural districts; urban-rural access divide clearly documented.</w:t>
      </w:r>
    </w:p>
    <w:p w14:paraId="15E6DC56" w14:textId="77777777" w:rsidR="00F7034B" w:rsidRPr="00BE4EE4" w:rsidRDefault="00000000">
      <w:pPr>
        <w:pStyle w:val="Heading2"/>
        <w:keepNext/>
        <w:spacing w:before="280" w:after="80"/>
        <w:rPr>
          <w:rFonts w:ascii="Poppins" w:hAnsi="Poppins" w:cs="Poppins"/>
          <w:color w:val="B7C3A1"/>
        </w:rPr>
      </w:pPr>
      <w:bookmarkStart w:id="50" w:name="_Toc233200052"/>
      <w:r w:rsidRPr="00BE4EE4">
        <w:rPr>
          <w:rFonts w:ascii="Poppins" w:eastAsia="Calibri" w:hAnsi="Poppins" w:cs="Poppins"/>
          <w:color w:val="B7C3A1"/>
        </w:rPr>
        <w:t>Nigeria</w:t>
      </w:r>
      <w:bookmarkEnd w:id="50"/>
    </w:p>
    <w:p w14:paraId="549F9DC4"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Region: </w:t>
      </w:r>
      <w:r w:rsidRPr="00BE4EE4">
        <w:rPr>
          <w:rFonts w:ascii="Poppins" w:eastAsia="Calibri" w:hAnsi="Poppins" w:cs="Poppins"/>
          <w:color w:val="1A1A1A"/>
        </w:rPr>
        <w:t>Sub-Saharan Africa</w:t>
      </w:r>
    </w:p>
    <w:p w14:paraId="0A744FD5"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Lead Organisation(s): </w:t>
      </w:r>
      <w:r w:rsidRPr="00BE4EE4">
        <w:rPr>
          <w:rFonts w:ascii="Poppins" w:eastAsia="Calibri" w:hAnsi="Poppins" w:cs="Poppins"/>
          <w:color w:val="1A1A1A"/>
        </w:rPr>
        <w:t>System Strategy and Policy Lab (SSPL)</w:t>
      </w:r>
    </w:p>
    <w:p w14:paraId="2B2759E0"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Policy Framework: </w:t>
      </w:r>
      <w:r w:rsidRPr="00BE4EE4">
        <w:rPr>
          <w:rFonts w:ascii="Poppins" w:eastAsia="Calibri" w:hAnsi="Poppins" w:cs="Poppins"/>
          <w:color w:val="1A1A1A"/>
        </w:rPr>
        <w:t xml:space="preserve">1999 Constitution; National Youth Policy (2019); Not Too Young </w:t>
      </w:r>
      <w:proofErr w:type="gramStart"/>
      <w:r w:rsidRPr="00BE4EE4">
        <w:rPr>
          <w:rFonts w:ascii="Poppins" w:eastAsia="Calibri" w:hAnsi="Poppins" w:cs="Poppins"/>
          <w:color w:val="1A1A1A"/>
        </w:rPr>
        <w:t>To</w:t>
      </w:r>
      <w:proofErr w:type="gramEnd"/>
      <w:r w:rsidRPr="00BE4EE4">
        <w:rPr>
          <w:rFonts w:ascii="Poppins" w:eastAsia="Calibri" w:hAnsi="Poppins" w:cs="Poppins"/>
          <w:color w:val="1A1A1A"/>
        </w:rPr>
        <w:t xml:space="preserve"> Run Act (2018); Kogi State Youth Development Commission Law (2019)</w:t>
      </w:r>
    </w:p>
    <w:p w14:paraId="1FAFA265"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Key Strengths: </w:t>
      </w:r>
      <w:r w:rsidRPr="00BE4EE4">
        <w:rPr>
          <w:rFonts w:ascii="Poppins" w:eastAsia="Calibri" w:hAnsi="Poppins" w:cs="Poppins"/>
          <w:color w:val="1A1A1A"/>
        </w:rPr>
        <w:t>Extensive formal architecture; vibrant civil society including Follow the Money; age-grade associations as most accessible rural mechanism; Sarkin Samari traditional youth leadership system.</w:t>
      </w:r>
    </w:p>
    <w:p w14:paraId="2FF5C320"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Key Gaps: </w:t>
      </w:r>
      <w:r w:rsidRPr="00BE4EE4">
        <w:rPr>
          <w:rFonts w:ascii="Poppins" w:eastAsia="Calibri" w:hAnsi="Poppins" w:cs="Poppins"/>
          <w:color w:val="1A1A1A"/>
        </w:rPr>
        <w:t>Chronic underfunding below one percent of state budgets; capital-centric formal structures; patronage-based gatekeeping; NYCN governance failures undermining representative body credibility.</w:t>
      </w:r>
    </w:p>
    <w:p w14:paraId="024B7294"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Best Practices: </w:t>
      </w:r>
      <w:r w:rsidRPr="00BE4EE4">
        <w:rPr>
          <w:rFonts w:ascii="Poppins" w:eastAsia="Calibri" w:hAnsi="Poppins" w:cs="Poppins"/>
          <w:color w:val="1A1A1A"/>
        </w:rPr>
        <w:t>Gombe State Youth Parliament; Follow the Money accountability model; age-grade associations; UNICEF Children's Parliaments; Sarkin Samari Traditional Youth Chiefs Forum.</w:t>
      </w:r>
    </w:p>
    <w:p w14:paraId="237743FA"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Task 2.2 Methodology: </w:t>
      </w:r>
      <w:r w:rsidRPr="00BE4EE4">
        <w:rPr>
          <w:rFonts w:ascii="Poppins" w:eastAsia="Calibri" w:hAnsi="Poppins" w:cs="Poppins"/>
          <w:color w:val="1A1A1A"/>
        </w:rPr>
        <w:t>Structured validation with policymaker, community leader, and youth representative. Critical perception gap documented. Youth comfort in formal settings rated two to three out of ten.</w:t>
      </w:r>
    </w:p>
    <w:p w14:paraId="519F5E29" w14:textId="77777777" w:rsidR="00F7034B" w:rsidRPr="00BE4EE4" w:rsidRDefault="00000000">
      <w:pPr>
        <w:pStyle w:val="Heading2"/>
        <w:keepNext/>
        <w:spacing w:before="280" w:after="80"/>
        <w:rPr>
          <w:rFonts w:ascii="Poppins" w:hAnsi="Poppins" w:cs="Poppins"/>
          <w:color w:val="B7C3A1"/>
        </w:rPr>
      </w:pPr>
      <w:bookmarkStart w:id="51" w:name="_Toc233200053"/>
      <w:r w:rsidRPr="00BE4EE4">
        <w:rPr>
          <w:rFonts w:ascii="Poppins" w:eastAsia="Calibri" w:hAnsi="Poppins" w:cs="Poppins"/>
          <w:color w:val="B7C3A1"/>
        </w:rPr>
        <w:lastRenderedPageBreak/>
        <w:t>Greece</w:t>
      </w:r>
      <w:bookmarkEnd w:id="51"/>
    </w:p>
    <w:p w14:paraId="69EC3870"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Region: </w:t>
      </w:r>
      <w:r w:rsidRPr="00BE4EE4">
        <w:rPr>
          <w:rFonts w:ascii="Poppins" w:eastAsia="Calibri" w:hAnsi="Poppins" w:cs="Poppins"/>
          <w:color w:val="1A1A1A"/>
        </w:rPr>
        <w:t>Europe</w:t>
      </w:r>
    </w:p>
    <w:p w14:paraId="263E0FF5" w14:textId="53BC31C9"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Lead Organisation(s): </w:t>
      </w:r>
      <w:r w:rsidRPr="00BE4EE4">
        <w:rPr>
          <w:rFonts w:ascii="Poppins" w:eastAsia="Calibri" w:hAnsi="Poppins" w:cs="Poppins"/>
          <w:color w:val="1A1A1A"/>
        </w:rPr>
        <w:t>Connectus</w:t>
      </w:r>
    </w:p>
    <w:p w14:paraId="35F6F9BB"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Policy Framework: </w:t>
      </w:r>
      <w:r w:rsidRPr="00BE4EE4">
        <w:rPr>
          <w:rFonts w:ascii="Poppins" w:eastAsia="Calibri" w:hAnsi="Poppins" w:cs="Poppins"/>
          <w:color w:val="1A1A1A"/>
        </w:rPr>
        <w:t>Hellenic National Youth Council (ESYN); National Youth Empowerment Strategy "Youth 17-27"; EU Youth Strategy 2019-2027</w:t>
      </w:r>
    </w:p>
    <w:p w14:paraId="5ED73899"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Key Strengths: </w:t>
      </w:r>
      <w:r w:rsidRPr="00BE4EE4">
        <w:rPr>
          <w:rFonts w:ascii="Poppins" w:eastAsia="Calibri" w:hAnsi="Poppins" w:cs="Poppins"/>
          <w:color w:val="1A1A1A"/>
        </w:rPr>
        <w:t>Diverse and formally developed participation ecosystem; ESYN as effective national platform; strong EU funding access; documented Municipal Youth Council experience.</w:t>
      </w:r>
    </w:p>
    <w:p w14:paraId="01A3323B"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Key Gaps: </w:t>
      </w:r>
      <w:r w:rsidRPr="00BE4EE4">
        <w:rPr>
          <w:rFonts w:ascii="Poppins" w:eastAsia="Calibri" w:hAnsi="Poppins" w:cs="Poppins"/>
          <w:color w:val="1A1A1A"/>
        </w:rPr>
        <w:t>Urban concentration of participation opportunities; inconsistent Municipal Youth Councils in rural municipalities; project-funding dependency creating structural fragility.</w:t>
      </w:r>
    </w:p>
    <w:p w14:paraId="6CCAC371"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Best Practices: </w:t>
      </w:r>
      <w:r w:rsidRPr="00BE4EE4">
        <w:rPr>
          <w:rFonts w:ascii="Poppins" w:eastAsia="Calibri" w:hAnsi="Poppins" w:cs="Poppins"/>
          <w:color w:val="1A1A1A"/>
        </w:rPr>
        <w:t xml:space="preserve">Municipal Youth Council of Larissa; Share SIRA rural development project in </w:t>
      </w:r>
      <w:proofErr w:type="spellStart"/>
      <w:r w:rsidRPr="00BE4EE4">
        <w:rPr>
          <w:rFonts w:ascii="Poppins" w:eastAsia="Calibri" w:hAnsi="Poppins" w:cs="Poppins"/>
          <w:color w:val="1A1A1A"/>
        </w:rPr>
        <w:t>Karditsa</w:t>
      </w:r>
      <w:proofErr w:type="spellEnd"/>
      <w:r w:rsidRPr="00BE4EE4">
        <w:rPr>
          <w:rFonts w:ascii="Poppins" w:eastAsia="Calibri" w:hAnsi="Poppins" w:cs="Poppins"/>
          <w:color w:val="1A1A1A"/>
        </w:rPr>
        <w:t xml:space="preserve">; </w:t>
      </w:r>
      <w:proofErr w:type="spellStart"/>
      <w:r w:rsidRPr="00BE4EE4">
        <w:rPr>
          <w:rFonts w:ascii="Poppins" w:eastAsia="Calibri" w:hAnsi="Poppins" w:cs="Poppins"/>
          <w:color w:val="1A1A1A"/>
        </w:rPr>
        <w:t>Ecogenia</w:t>
      </w:r>
      <w:proofErr w:type="spellEnd"/>
      <w:r w:rsidRPr="00BE4EE4">
        <w:rPr>
          <w:rFonts w:ascii="Poppins" w:eastAsia="Calibri" w:hAnsi="Poppins" w:cs="Poppins"/>
          <w:color w:val="1A1A1A"/>
        </w:rPr>
        <w:t xml:space="preserve"> sustainability engagement; Save Your Hood community action.</w:t>
      </w:r>
    </w:p>
    <w:p w14:paraId="39B8C73B"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Task 2.2 Methodology: </w:t>
      </w:r>
      <w:r w:rsidRPr="00BE4EE4">
        <w:rPr>
          <w:rFonts w:ascii="Poppins" w:eastAsia="Calibri" w:hAnsi="Poppins" w:cs="Poppins"/>
          <w:color w:val="1A1A1A"/>
        </w:rPr>
        <w:t>Desk research based; appropriate to Greece's role as a reference country.</w:t>
      </w:r>
    </w:p>
    <w:p w14:paraId="5D133F92" w14:textId="6D8AF8F3" w:rsidR="00F7034B" w:rsidRPr="00BE4EE4" w:rsidRDefault="00000000">
      <w:pPr>
        <w:pStyle w:val="Heading2"/>
        <w:keepNext/>
        <w:spacing w:before="280" w:after="80"/>
        <w:rPr>
          <w:rFonts w:ascii="Poppins" w:hAnsi="Poppins" w:cs="Poppins"/>
          <w:color w:val="B7C3A1"/>
        </w:rPr>
      </w:pPr>
      <w:bookmarkStart w:id="52" w:name="_Toc233200054"/>
      <w:r w:rsidRPr="00BE4EE4">
        <w:rPr>
          <w:rFonts w:ascii="Poppins" w:eastAsia="Calibri" w:hAnsi="Poppins" w:cs="Poppins"/>
          <w:color w:val="B7C3A1"/>
        </w:rPr>
        <w:t>Italy</w:t>
      </w:r>
      <w:bookmarkEnd w:id="52"/>
    </w:p>
    <w:p w14:paraId="467AA8AB"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Region: </w:t>
      </w:r>
      <w:r w:rsidRPr="00BE4EE4">
        <w:rPr>
          <w:rFonts w:ascii="Poppins" w:eastAsia="Calibri" w:hAnsi="Poppins" w:cs="Poppins"/>
          <w:color w:val="1A1A1A"/>
        </w:rPr>
        <w:t>Europe</w:t>
      </w:r>
    </w:p>
    <w:p w14:paraId="6AA58B40" w14:textId="75CEDE82" w:rsidR="00F7034B" w:rsidRPr="00BE4EE4" w:rsidRDefault="00000000">
      <w:pPr>
        <w:spacing w:before="40" w:after="40"/>
        <w:rPr>
          <w:rFonts w:ascii="Poppins" w:hAnsi="Poppins" w:cs="Poppins"/>
        </w:rPr>
      </w:pPr>
      <w:r w:rsidRPr="00BE4EE4">
        <w:rPr>
          <w:rFonts w:ascii="Poppins" w:eastAsia="Calibri" w:hAnsi="Poppins" w:cs="Poppins"/>
          <w:b/>
          <w:bCs/>
        </w:rPr>
        <w:t xml:space="preserve">Lead Organisation(s): </w:t>
      </w:r>
      <w:r w:rsidRPr="00BE4EE4">
        <w:rPr>
          <w:rFonts w:ascii="Poppins" w:eastAsia="Calibri" w:hAnsi="Poppins" w:cs="Poppins"/>
          <w:color w:val="1A1A1A"/>
        </w:rPr>
        <w:t xml:space="preserve">A Rocca </w:t>
      </w:r>
    </w:p>
    <w:p w14:paraId="6BDBFC00"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Policy Framework: </w:t>
      </w:r>
      <w:r w:rsidRPr="00BE4EE4">
        <w:rPr>
          <w:rFonts w:ascii="Poppins" w:eastAsia="Calibri" w:hAnsi="Poppins" w:cs="Poppins"/>
          <w:color w:val="1A1A1A"/>
        </w:rPr>
        <w:t>Law 145/2018 (CNG); SNAI National Strategy for Inner Areas; PNRR; Law 36/2024 youth agriculture; regional youth legislation</w:t>
      </w:r>
    </w:p>
    <w:p w14:paraId="715F7F76" w14:textId="77777777" w:rsidR="00F7034B" w:rsidRPr="00BE4EE4" w:rsidRDefault="00000000">
      <w:pPr>
        <w:spacing w:before="40" w:after="40"/>
        <w:rPr>
          <w:rFonts w:ascii="Poppins" w:hAnsi="Poppins" w:cs="Poppins"/>
        </w:rPr>
      </w:pPr>
      <w:r w:rsidRPr="00BE4EE4">
        <w:rPr>
          <w:rFonts w:ascii="Poppins" w:eastAsia="Calibri" w:hAnsi="Poppins" w:cs="Poppins"/>
          <w:b/>
          <w:bCs/>
        </w:rPr>
        <w:t xml:space="preserve">Key Strengths: </w:t>
      </w:r>
      <w:r w:rsidRPr="00BE4EE4">
        <w:rPr>
          <w:rFonts w:ascii="Poppins" w:eastAsia="Calibri" w:hAnsi="Poppins" w:cs="Poppins"/>
          <w:color w:val="1A1A1A"/>
        </w:rPr>
        <w:t>High PNRR resource availability; YEPP Italia Local Support Groups in over fifty municipalities; A Rocca's sustained internationalisation platform in Sicily; strong civil society; Resto al Sud non-repayable grants supporting over three thousand young Sicilian entrepreneurs.</w:t>
      </w:r>
    </w:p>
    <w:p w14:paraId="77A9CE9F" w14:textId="77777777" w:rsidR="00F7034B" w:rsidRPr="00BE4EE4" w:rsidRDefault="00000000">
      <w:pPr>
        <w:spacing w:before="40" w:after="40"/>
        <w:rPr>
          <w:rFonts w:ascii="Poppins" w:hAnsi="Poppins" w:cs="Poppins"/>
        </w:rPr>
      </w:pPr>
      <w:r w:rsidRPr="00BE4EE4">
        <w:rPr>
          <w:rFonts w:ascii="Poppins" w:eastAsia="Calibri" w:hAnsi="Poppins" w:cs="Poppins"/>
          <w:b/>
          <w:bCs/>
        </w:rPr>
        <w:lastRenderedPageBreak/>
        <w:t xml:space="preserve">Key Gaps: </w:t>
      </w:r>
      <w:r w:rsidRPr="00BE4EE4">
        <w:rPr>
          <w:rFonts w:ascii="Poppins" w:eastAsia="Calibri" w:hAnsi="Poppins" w:cs="Poppins"/>
          <w:color w:val="1A1A1A"/>
        </w:rPr>
        <w:t>Fifty-three-point-six percent youth unemployment in Sicily; absence of a unified national youth strategy; institutional fragmentation; limited implementation of regional frameworks in rural municipalities.</w:t>
      </w:r>
    </w:p>
    <w:p w14:paraId="4868943C" w14:textId="4BDF5D62" w:rsidR="00F7034B" w:rsidRPr="00BE4EE4" w:rsidRDefault="00000000">
      <w:pPr>
        <w:spacing w:before="40" w:after="40"/>
        <w:rPr>
          <w:rFonts w:ascii="Poppins" w:hAnsi="Poppins" w:cs="Poppins"/>
        </w:rPr>
      </w:pPr>
      <w:r w:rsidRPr="00BE4EE4">
        <w:rPr>
          <w:rFonts w:ascii="Poppins" w:eastAsia="Calibri" w:hAnsi="Poppins" w:cs="Poppins"/>
          <w:b/>
          <w:bCs/>
        </w:rPr>
        <w:t xml:space="preserve">Best Practices: </w:t>
      </w:r>
      <w:r w:rsidRPr="00BE4EE4">
        <w:rPr>
          <w:rFonts w:ascii="Poppins" w:eastAsia="Calibri" w:hAnsi="Poppins" w:cs="Poppins"/>
          <w:color w:val="1A1A1A"/>
        </w:rPr>
        <w:t>YEPP Italia Local Support Groups; A Rocca ESC hub; PNRR Borghi revitalisation; Resto al Sud enterprise grants.</w:t>
      </w:r>
    </w:p>
    <w:p w14:paraId="6F0B9FFB" w14:textId="0751EEB6" w:rsidR="00F7034B" w:rsidRPr="00BE4EE4" w:rsidRDefault="00000000">
      <w:pPr>
        <w:spacing w:before="40" w:after="40"/>
        <w:rPr>
          <w:rFonts w:ascii="Poppins" w:hAnsi="Poppins" w:cs="Poppins"/>
        </w:rPr>
      </w:pPr>
      <w:r w:rsidRPr="00BE4EE4">
        <w:rPr>
          <w:rFonts w:ascii="Poppins" w:eastAsia="Calibri" w:hAnsi="Poppins" w:cs="Poppins"/>
          <w:b/>
          <w:bCs/>
        </w:rPr>
        <w:t xml:space="preserve">Task 2.2 Methodology: </w:t>
      </w:r>
      <w:r w:rsidR="00F003D8" w:rsidRPr="00F003D8">
        <w:rPr>
          <w:rFonts w:ascii="Poppins" w:eastAsia="Calibri" w:hAnsi="Poppins" w:cs="Poppins"/>
          <w:color w:val="1A1A1A"/>
        </w:rPr>
        <w:t>Desk research based, with multi-level mapping of national, regional, local and non-formal participation tools; project-based tool preference documented; territorial disparities and weak feedback loops confirmed.</w:t>
      </w:r>
    </w:p>
    <w:p w14:paraId="616A1483" w14:textId="77777777" w:rsidR="00F7034B" w:rsidRPr="00BE4EE4" w:rsidRDefault="00000000">
      <w:pPr>
        <w:pStyle w:val="Heading2"/>
        <w:keepNext/>
        <w:spacing w:before="280" w:after="80"/>
        <w:rPr>
          <w:rFonts w:ascii="Poppins" w:hAnsi="Poppins" w:cs="Poppins"/>
          <w:color w:val="B7C3A1"/>
          <w:lang w:val="it-IT"/>
        </w:rPr>
      </w:pPr>
      <w:bookmarkStart w:id="53" w:name="_Toc233200055"/>
      <w:r w:rsidRPr="00BE4EE4">
        <w:rPr>
          <w:rFonts w:ascii="Poppins" w:eastAsia="Calibri" w:hAnsi="Poppins" w:cs="Poppins"/>
          <w:color w:val="B7C3A1"/>
          <w:lang w:val="it-IT"/>
        </w:rPr>
        <w:t>Romania</w:t>
      </w:r>
      <w:bookmarkEnd w:id="53"/>
    </w:p>
    <w:p w14:paraId="3DA1C98B" w14:textId="77777777" w:rsidR="00F7034B" w:rsidRPr="00BE4EE4" w:rsidRDefault="00000000">
      <w:pPr>
        <w:spacing w:before="40" w:after="40"/>
        <w:rPr>
          <w:rFonts w:ascii="Poppins" w:hAnsi="Poppins" w:cs="Poppins"/>
          <w:lang w:val="it-IT"/>
        </w:rPr>
      </w:pPr>
      <w:r w:rsidRPr="00BE4EE4">
        <w:rPr>
          <w:rFonts w:ascii="Poppins" w:eastAsia="Calibri" w:hAnsi="Poppins" w:cs="Poppins"/>
          <w:b/>
          <w:bCs/>
          <w:color w:val="000000" w:themeColor="text1"/>
          <w:lang w:val="it-IT"/>
        </w:rPr>
        <w:t xml:space="preserve">Region: </w:t>
      </w:r>
      <w:r w:rsidRPr="00BE4EE4">
        <w:rPr>
          <w:rFonts w:ascii="Poppins" w:eastAsia="Calibri" w:hAnsi="Poppins" w:cs="Poppins"/>
          <w:color w:val="1A1A1A"/>
          <w:lang w:val="it-IT"/>
        </w:rPr>
        <w:t>Europe</w:t>
      </w:r>
    </w:p>
    <w:p w14:paraId="02BDBF2E" w14:textId="4F34EB7A" w:rsidR="00F7034B" w:rsidRPr="00BE4EE4" w:rsidRDefault="00000000">
      <w:pPr>
        <w:spacing w:before="40" w:after="40"/>
        <w:rPr>
          <w:rFonts w:ascii="Poppins" w:hAnsi="Poppins" w:cs="Poppins"/>
          <w:lang w:val="it-IT"/>
        </w:rPr>
      </w:pPr>
      <w:r w:rsidRPr="00BE4EE4">
        <w:rPr>
          <w:rFonts w:ascii="Poppins" w:eastAsia="Calibri" w:hAnsi="Poppins" w:cs="Poppins"/>
          <w:b/>
          <w:bCs/>
          <w:color w:val="000000" w:themeColor="text1"/>
          <w:lang w:val="it-IT"/>
        </w:rPr>
        <w:t xml:space="preserve">Lead Organisation(s): </w:t>
      </w:r>
      <w:r w:rsidRPr="00BE4EE4">
        <w:rPr>
          <w:rFonts w:ascii="Poppins" w:eastAsia="Calibri" w:hAnsi="Poppins" w:cs="Poppins"/>
          <w:color w:val="1A1A1A"/>
          <w:lang w:val="it-IT"/>
        </w:rPr>
        <w:t>LAG Napoca Porolissum</w:t>
      </w:r>
    </w:p>
    <w:p w14:paraId="445BE77B"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Policy Framework: </w:t>
      </w:r>
      <w:r w:rsidRPr="00BE4EE4">
        <w:rPr>
          <w:rFonts w:ascii="Poppins" w:eastAsia="Calibri" w:hAnsi="Poppins" w:cs="Poppins"/>
          <w:color w:val="1A1A1A"/>
        </w:rPr>
        <w:t>Youth Law 350/2006; Law 52/2003; National Youth Strategy 2024-2027; Government Decision 197/2022</w:t>
      </w:r>
    </w:p>
    <w:p w14:paraId="14CC3421"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Key Strengths: </w:t>
      </w:r>
      <w:r w:rsidRPr="00BE4EE4">
        <w:rPr>
          <w:rFonts w:ascii="Poppins" w:eastAsia="Calibri" w:hAnsi="Poppins" w:cs="Poppins"/>
          <w:color w:val="1A1A1A"/>
        </w:rPr>
        <w:t>Fully documented, tested LAG-based Rural Youth Parliament model; clear and supportive legal framework with explicit rural youth provisions; LEADER governance as participation infrastructure; NGO federation mediation capacity.</w:t>
      </w:r>
    </w:p>
    <w:p w14:paraId="78F88351"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Key Gaps: </w:t>
      </w:r>
      <w:r w:rsidRPr="00BE4EE4">
        <w:rPr>
          <w:rFonts w:ascii="Poppins" w:eastAsia="Calibri" w:hAnsi="Poppins" w:cs="Poppins"/>
          <w:color w:val="1A1A1A"/>
        </w:rPr>
        <w:t>Limited rural mediation capacity in dispersed mountain territories; geographic and transport barriers; institutional transition uncertainty following establishment of Youth and Family County Directions.</w:t>
      </w:r>
    </w:p>
    <w:p w14:paraId="70D2B681"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Best Practices: </w:t>
      </w:r>
      <w:r w:rsidRPr="00BE4EE4">
        <w:rPr>
          <w:rFonts w:ascii="Poppins" w:eastAsia="Calibri" w:hAnsi="Poppins" w:cs="Poppins"/>
          <w:color w:val="1A1A1A"/>
        </w:rPr>
        <w:t>Rural Youth Parliament simulation model with complete methodology documentation; LAG consultation integration processes; participatory methodology toolkit; NGO federation mediation services.</w:t>
      </w:r>
    </w:p>
    <w:p w14:paraId="5EB06B46" w14:textId="77777777" w:rsidR="00F7034B" w:rsidRPr="00BE4EE4" w:rsidRDefault="00000000">
      <w:pPr>
        <w:spacing w:before="40" w:after="40"/>
        <w:rPr>
          <w:rFonts w:ascii="Poppins" w:hAnsi="Poppins" w:cs="Poppins"/>
        </w:rPr>
      </w:pPr>
      <w:r w:rsidRPr="00BE4EE4">
        <w:rPr>
          <w:rFonts w:ascii="Poppins" w:eastAsia="Calibri" w:hAnsi="Poppins" w:cs="Poppins"/>
          <w:b/>
          <w:bCs/>
          <w:color w:val="000000" w:themeColor="text1"/>
        </w:rPr>
        <w:t xml:space="preserve">Task 2.2 Methodology: </w:t>
      </w:r>
      <w:r w:rsidRPr="00BE4EE4">
        <w:rPr>
          <w:rFonts w:ascii="Poppins" w:eastAsia="Calibri" w:hAnsi="Poppins" w:cs="Poppins"/>
          <w:color w:val="1A1A1A"/>
        </w:rPr>
        <w:t>Desk research based with multi-level governance mapping of the LAG Napoca Porolissum territory. RYP documented as most directly transferable European model.</w:t>
      </w:r>
    </w:p>
    <w:p w14:paraId="55694D76" w14:textId="51354300" w:rsidR="00F7034B" w:rsidRPr="00BE4EE4" w:rsidRDefault="00F7034B">
      <w:pPr>
        <w:rPr>
          <w:rFonts w:ascii="Poppins" w:hAnsi="Poppins" w:cs="Poppins"/>
        </w:rPr>
      </w:pPr>
    </w:p>
    <w:p w14:paraId="43CD97BC" w14:textId="77777777" w:rsidR="00F7034B" w:rsidRPr="00BE4EE4" w:rsidRDefault="00000000">
      <w:pPr>
        <w:pStyle w:val="Heading1"/>
        <w:keepNext/>
        <w:spacing w:before="360" w:after="120"/>
        <w:rPr>
          <w:rFonts w:ascii="Poppins" w:hAnsi="Poppins" w:cs="Poppins"/>
          <w:color w:val="2F6B3A"/>
        </w:rPr>
      </w:pPr>
      <w:bookmarkStart w:id="54" w:name="_Toc233200056"/>
      <w:r w:rsidRPr="00BE4EE4">
        <w:rPr>
          <w:rFonts w:ascii="Poppins" w:eastAsia="Calibri" w:hAnsi="Poppins" w:cs="Poppins"/>
          <w:color w:val="2F6B3A"/>
        </w:rPr>
        <w:t>Annex B: Glossary of Key Terms and Abbreviations</w:t>
      </w:r>
      <w:bookmarkEnd w:id="54"/>
    </w:p>
    <w:p w14:paraId="4142E867"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Andrimasompokonolona: </w:t>
      </w:r>
      <w:r w:rsidRPr="00BE4EE4">
        <w:rPr>
          <w:rFonts w:ascii="Poppins" w:eastAsia="Calibri" w:hAnsi="Poppins" w:cs="Poppins"/>
          <w:color w:val="1A1A1A"/>
        </w:rPr>
        <w:t>Traditional community watch system in Madagascar in which young men take structured responsibility for village security and order, representing a culturally recognised civic role for rural youth.</w:t>
      </w:r>
    </w:p>
    <w:p w14:paraId="3EDAA0D8"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CDA: </w:t>
      </w:r>
      <w:r w:rsidRPr="00BE4EE4">
        <w:rPr>
          <w:rFonts w:ascii="Poppins" w:eastAsia="Calibri" w:hAnsi="Poppins" w:cs="Poppins"/>
          <w:color w:val="1A1A1A"/>
        </w:rPr>
        <w:t>Community Development Association (Nigeria): A community-level organisation providing the principal civil society interface for rural development planning and community governance in many Nigerian LGAs.</w:t>
      </w:r>
    </w:p>
    <w:p w14:paraId="645947BF"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CNG: </w:t>
      </w:r>
      <w:r w:rsidRPr="00BE4EE4">
        <w:rPr>
          <w:rFonts w:ascii="Poppins" w:eastAsia="Calibri" w:hAnsi="Poppins" w:cs="Poppins"/>
          <w:color w:val="1A1A1A"/>
        </w:rPr>
        <w:t xml:space="preserve">Consiglio Nazionale </w:t>
      </w:r>
      <w:proofErr w:type="spellStart"/>
      <w:r w:rsidRPr="00BE4EE4">
        <w:rPr>
          <w:rFonts w:ascii="Poppins" w:eastAsia="Calibri" w:hAnsi="Poppins" w:cs="Poppins"/>
          <w:color w:val="1A1A1A"/>
        </w:rPr>
        <w:t>dei</w:t>
      </w:r>
      <w:proofErr w:type="spellEnd"/>
      <w:r w:rsidRPr="00BE4EE4">
        <w:rPr>
          <w:rFonts w:ascii="Poppins" w:eastAsia="Calibri" w:hAnsi="Poppins" w:cs="Poppins"/>
          <w:color w:val="1A1A1A"/>
        </w:rPr>
        <w:t xml:space="preserve"> Giovani: The National Youth Council of Italy, established by Law 145/2018 as the formal advisory body for youth affairs at national government level.</w:t>
      </w:r>
    </w:p>
    <w:p w14:paraId="50225CF4"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CPA: </w:t>
      </w:r>
      <w:r w:rsidRPr="00BE4EE4">
        <w:rPr>
          <w:rFonts w:ascii="Poppins" w:eastAsia="Calibri" w:hAnsi="Poppins" w:cs="Poppins"/>
          <w:color w:val="1A1A1A"/>
        </w:rPr>
        <w:t>Commonwealth Parliamentary Association: The intergovernmental organisation whose Youth Parliament Toolkit provides a widely used resource for parliamentary simulation programme design.</w:t>
      </w:r>
    </w:p>
    <w:p w14:paraId="5154CC10"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EACEA: </w:t>
      </w:r>
      <w:r w:rsidRPr="00BE4EE4">
        <w:rPr>
          <w:rFonts w:ascii="Poppins" w:eastAsia="Calibri" w:hAnsi="Poppins" w:cs="Poppins"/>
          <w:color w:val="1A1A1A"/>
        </w:rPr>
        <w:t>European Education and Culture Executive Agency: The EU agency responsible for managing the Erasmus+ and European Solidarity Corps programmes, including the EMPOWER+ grant.</w:t>
      </w:r>
    </w:p>
    <w:p w14:paraId="3D257055"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EMPOWER+: </w:t>
      </w:r>
      <w:r w:rsidRPr="00BE4EE4">
        <w:rPr>
          <w:rFonts w:ascii="Poppins" w:eastAsia="Calibri" w:hAnsi="Poppins" w:cs="Poppins"/>
          <w:color w:val="1A1A1A"/>
        </w:rPr>
        <w:t>Empowering Rural Youth: Establishing and Strengthening the Rural Youth Parliament in Sub-Saharan Africa (ERASMUS-YOUTH-2025-CB-SSA, Project No. 101243075).</w:t>
      </w:r>
    </w:p>
    <w:p w14:paraId="605343A5"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ESC: </w:t>
      </w:r>
      <w:r w:rsidRPr="00BE4EE4">
        <w:rPr>
          <w:rFonts w:ascii="Poppins" w:eastAsia="Calibri" w:hAnsi="Poppins" w:cs="Poppins"/>
          <w:color w:val="1A1A1A"/>
        </w:rPr>
        <w:t>European Solidarity Corps: The EU programme supporting voluntary and professional solidarity activities for young Europeans, complementary to Erasmus+.</w:t>
      </w:r>
    </w:p>
    <w:p w14:paraId="7556F7D1"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lastRenderedPageBreak/>
        <w:t xml:space="preserve">ESYN: </w:t>
      </w:r>
      <w:r w:rsidRPr="00BE4EE4">
        <w:rPr>
          <w:rFonts w:ascii="Poppins" w:eastAsia="Calibri" w:hAnsi="Poppins" w:cs="Poppins"/>
          <w:color w:val="1A1A1A"/>
        </w:rPr>
        <w:t>Hellenic National Youth Council: The principal representative body for youth organisations in Greece at national level.</w:t>
      </w:r>
    </w:p>
    <w:p w14:paraId="246DF5D4" w14:textId="2EC78304"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FGD: </w:t>
      </w:r>
      <w:r w:rsidRPr="00BE4EE4">
        <w:rPr>
          <w:rFonts w:ascii="Poppins" w:eastAsia="Calibri" w:hAnsi="Poppins" w:cs="Poppins"/>
          <w:color w:val="1A1A1A"/>
        </w:rPr>
        <w:t xml:space="preserve">Focus Group Discussion: </w:t>
      </w:r>
      <w:r w:rsidR="006B4701">
        <w:rPr>
          <w:rFonts w:ascii="Poppins" w:eastAsia="Calibri" w:hAnsi="Poppins" w:cs="Poppins"/>
          <w:color w:val="1A1A1A"/>
        </w:rPr>
        <w:t>A structured group research method used in Botswana and Mauritius to gather stakeholder perspectives on participation tool effectiveness.</w:t>
      </w:r>
    </w:p>
    <w:p w14:paraId="297C84E2"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IDEA: </w:t>
      </w:r>
      <w:r w:rsidRPr="00BE4EE4">
        <w:rPr>
          <w:rFonts w:ascii="Poppins" w:eastAsia="Calibri" w:hAnsi="Poppins" w:cs="Poppins"/>
          <w:color w:val="1A1A1A"/>
        </w:rPr>
        <w:t>International Institute for Democracy and Electoral Assistance: An intergovernmental organisation providing support for democratic governance institutions, including youth parliamentary frameworks.</w:t>
      </w:r>
    </w:p>
    <w:p w14:paraId="290294CA"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Kgotla: </w:t>
      </w:r>
      <w:r w:rsidRPr="00BE4EE4">
        <w:rPr>
          <w:rFonts w:ascii="Poppins" w:eastAsia="Calibri" w:hAnsi="Poppins" w:cs="Poppins"/>
          <w:color w:val="1A1A1A"/>
        </w:rPr>
        <w:t>Traditional community assembly system in Botswana, convened by the Kgosi (hereditary community leader). The central institution of Botswana's democratic culture and the most accessible civic participation venue for rural youth.</w:t>
      </w:r>
    </w:p>
    <w:p w14:paraId="6312D62F"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LAG: </w:t>
      </w:r>
      <w:r w:rsidRPr="00BE4EE4">
        <w:rPr>
          <w:rFonts w:ascii="Poppins" w:eastAsia="Calibri" w:hAnsi="Poppins" w:cs="Poppins"/>
          <w:color w:val="1A1A1A"/>
        </w:rPr>
        <w:t>Local Action Group: The LEADER governance structure in Romania that manages rural development programming at territory level. LAG Napoca Porolissum is the EMPOWER+ project coordinator.</w:t>
      </w:r>
    </w:p>
    <w:p w14:paraId="64AFA9E1"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LEADER: </w:t>
      </w:r>
      <w:r w:rsidRPr="00BE4EE4">
        <w:rPr>
          <w:rFonts w:ascii="Poppins" w:eastAsia="Calibri" w:hAnsi="Poppins" w:cs="Poppins"/>
          <w:color w:val="1A1A1A"/>
        </w:rPr>
        <w:t xml:space="preserve">Liaison Entre Actions de Developpement de </w:t>
      </w:r>
      <w:proofErr w:type="spellStart"/>
      <w:r w:rsidRPr="00BE4EE4">
        <w:rPr>
          <w:rFonts w:ascii="Poppins" w:eastAsia="Calibri" w:hAnsi="Poppins" w:cs="Poppins"/>
          <w:color w:val="1A1A1A"/>
        </w:rPr>
        <w:t>l'Economie</w:t>
      </w:r>
      <w:proofErr w:type="spellEnd"/>
      <w:r w:rsidRPr="00BE4EE4">
        <w:rPr>
          <w:rFonts w:ascii="Poppins" w:eastAsia="Calibri" w:hAnsi="Poppins" w:cs="Poppins"/>
          <w:color w:val="1A1A1A"/>
        </w:rPr>
        <w:t xml:space="preserve"> </w:t>
      </w:r>
      <w:proofErr w:type="spellStart"/>
      <w:r w:rsidRPr="00BE4EE4">
        <w:rPr>
          <w:rFonts w:ascii="Poppins" w:eastAsia="Calibri" w:hAnsi="Poppins" w:cs="Poppins"/>
          <w:color w:val="1A1A1A"/>
        </w:rPr>
        <w:t>Rurale</w:t>
      </w:r>
      <w:proofErr w:type="spellEnd"/>
      <w:r w:rsidRPr="00BE4EE4">
        <w:rPr>
          <w:rFonts w:ascii="Poppins" w:eastAsia="Calibri" w:hAnsi="Poppins" w:cs="Poppins"/>
          <w:color w:val="1A1A1A"/>
        </w:rPr>
        <w:t>: The EU rural development approach based on community-led local development through Local Action Groups.</w:t>
      </w:r>
    </w:p>
    <w:p w14:paraId="421510A7"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LGA: </w:t>
      </w:r>
      <w:r w:rsidRPr="00BE4EE4">
        <w:rPr>
          <w:rFonts w:ascii="Poppins" w:eastAsia="Calibri" w:hAnsi="Poppins" w:cs="Poppins"/>
          <w:color w:val="1A1A1A"/>
        </w:rPr>
        <w:t>Local Government Area: The primary local administrative unit in Nigeria, of which there are 774 nationally.</w:t>
      </w:r>
    </w:p>
    <w:p w14:paraId="3D2CB06F"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MFR: </w:t>
      </w:r>
      <w:r w:rsidRPr="00BE4EE4">
        <w:rPr>
          <w:rFonts w:ascii="Poppins" w:eastAsia="Calibri" w:hAnsi="Poppins" w:cs="Poppins"/>
          <w:color w:val="1A1A1A"/>
        </w:rPr>
        <w:t>Maisons Familiales Rurales: Rural family training centres providing alternance vocational education programmes in Mauritius and France, among other countries.</w:t>
      </w:r>
    </w:p>
    <w:p w14:paraId="76795D06"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MYP: </w:t>
      </w:r>
      <w:r w:rsidRPr="00BE4EE4">
        <w:rPr>
          <w:rFonts w:ascii="Poppins" w:eastAsia="Calibri" w:hAnsi="Poppins" w:cs="Poppins"/>
          <w:color w:val="1A1A1A"/>
        </w:rPr>
        <w:t>Mauritius Youth Parliament: The biennial national youth parliament of Mauritius, providing a deliberative forum for young people aged fifteen to twenty-four.</w:t>
      </w:r>
    </w:p>
    <w:p w14:paraId="28F2B30E"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lastRenderedPageBreak/>
        <w:t xml:space="preserve">NYC: </w:t>
      </w:r>
      <w:r w:rsidRPr="00BE4EE4">
        <w:rPr>
          <w:rFonts w:ascii="Poppins" w:eastAsia="Calibri" w:hAnsi="Poppins" w:cs="Poppins"/>
          <w:color w:val="1A1A1A"/>
        </w:rPr>
        <w:t>National Youth Council (Mauritius): The statutory body coordinating youth organisations and programmes under the National Youth Council Act (1998).</w:t>
      </w:r>
    </w:p>
    <w:p w14:paraId="01CBEDF1"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NYCN: </w:t>
      </w:r>
      <w:r w:rsidRPr="00BE4EE4">
        <w:rPr>
          <w:rFonts w:ascii="Poppins" w:eastAsia="Calibri" w:hAnsi="Poppins" w:cs="Poppins"/>
          <w:color w:val="1A1A1A"/>
        </w:rPr>
        <w:t>National Youth Council of Nigeria: The principal statutory body for youth representation in Nigeria, with thirty-six state chapters and 774 LGA branches.</w:t>
      </w:r>
    </w:p>
    <w:p w14:paraId="0773DF77"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PCD: </w:t>
      </w:r>
      <w:r w:rsidRPr="00BE4EE4">
        <w:rPr>
          <w:rFonts w:ascii="Poppins" w:eastAsia="Calibri" w:hAnsi="Poppins" w:cs="Poppins"/>
          <w:color w:val="1A1A1A"/>
        </w:rPr>
        <w:t>Plan Communal de Developpement (Madagascar): Communal Development Plan providing a formal local planning and consultation framework at commune level.</w:t>
      </w:r>
    </w:p>
    <w:p w14:paraId="03509275"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PNRR</w:t>
      </w:r>
      <w:r w:rsidRPr="00BE4EE4">
        <w:rPr>
          <w:rFonts w:ascii="Poppins" w:eastAsia="Calibri" w:hAnsi="Poppins" w:cs="Poppins"/>
          <w:b/>
          <w:bCs/>
          <w:color w:val="1F497D"/>
        </w:rPr>
        <w:t xml:space="preserve">: </w:t>
      </w:r>
      <w:r w:rsidRPr="00BE4EE4">
        <w:rPr>
          <w:rFonts w:ascii="Poppins" w:eastAsia="Calibri" w:hAnsi="Poppins" w:cs="Poppins"/>
          <w:color w:val="1A1A1A"/>
        </w:rPr>
        <w:t xml:space="preserve">Piano Nazionale di </w:t>
      </w:r>
      <w:proofErr w:type="spellStart"/>
      <w:r w:rsidRPr="00BE4EE4">
        <w:rPr>
          <w:rFonts w:ascii="Poppins" w:eastAsia="Calibri" w:hAnsi="Poppins" w:cs="Poppins"/>
          <w:color w:val="1A1A1A"/>
        </w:rPr>
        <w:t>Ripresa</w:t>
      </w:r>
      <w:proofErr w:type="spellEnd"/>
      <w:r w:rsidRPr="00BE4EE4">
        <w:rPr>
          <w:rFonts w:ascii="Poppins" w:eastAsia="Calibri" w:hAnsi="Poppins" w:cs="Poppins"/>
          <w:color w:val="1A1A1A"/>
        </w:rPr>
        <w:t xml:space="preserve"> e </w:t>
      </w:r>
      <w:proofErr w:type="spellStart"/>
      <w:r w:rsidRPr="00BE4EE4">
        <w:rPr>
          <w:rFonts w:ascii="Poppins" w:eastAsia="Calibri" w:hAnsi="Poppins" w:cs="Poppins"/>
          <w:color w:val="1A1A1A"/>
        </w:rPr>
        <w:t>Resilienza</w:t>
      </w:r>
      <w:proofErr w:type="spellEnd"/>
      <w:r w:rsidRPr="00BE4EE4">
        <w:rPr>
          <w:rFonts w:ascii="Poppins" w:eastAsia="Calibri" w:hAnsi="Poppins" w:cs="Poppins"/>
          <w:color w:val="1A1A1A"/>
        </w:rPr>
        <w:t xml:space="preserve"> (Italy): The Italian National Recovery and Resilience Plan, providing significant investment in rural and inner area development.</w:t>
      </w:r>
    </w:p>
    <w:p w14:paraId="450F3BC8"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RYC: </w:t>
      </w:r>
      <w:r w:rsidRPr="00BE4EE4">
        <w:rPr>
          <w:rFonts w:ascii="Poppins" w:eastAsia="Calibri" w:hAnsi="Poppins" w:cs="Poppins"/>
          <w:color w:val="1A1A1A"/>
        </w:rPr>
        <w:t>Regional Youth Council (Mauritius): The district-level youth council structures operating in every administrative region of Mauritius, including Rodrigues.</w:t>
      </w:r>
    </w:p>
    <w:p w14:paraId="74753576"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RYP: </w:t>
      </w:r>
      <w:r w:rsidRPr="00BE4EE4">
        <w:rPr>
          <w:rFonts w:ascii="Poppins" w:eastAsia="Calibri" w:hAnsi="Poppins" w:cs="Poppins"/>
          <w:color w:val="1A1A1A"/>
        </w:rPr>
        <w:t>Rural Youth Parliament: The principal participatory governance mechanism of the EMPOWER+ project, a structured deliberative body at sub-national level enabling rural youth to debate community issues, formulate proposals, and engage with local decision-makers.</w:t>
      </w:r>
    </w:p>
    <w:p w14:paraId="4F90D698"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Sarkin Samari: </w:t>
      </w:r>
      <w:r w:rsidRPr="00BE4EE4">
        <w:rPr>
          <w:rFonts w:ascii="Poppins" w:eastAsia="Calibri" w:hAnsi="Poppins" w:cs="Poppins"/>
          <w:color w:val="1A1A1A"/>
        </w:rPr>
        <w:t>Traditional Youth Leadership (Nigeria): The traditional youth leadership institution in Northern Nigeria providing an institutionalised channel for youth concerns within the emirate council system.</w:t>
      </w:r>
    </w:p>
    <w:p w14:paraId="02856043"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SNAI: </w:t>
      </w:r>
      <w:proofErr w:type="spellStart"/>
      <w:r w:rsidRPr="00BE4EE4">
        <w:rPr>
          <w:rFonts w:ascii="Poppins" w:eastAsia="Calibri" w:hAnsi="Poppins" w:cs="Poppins"/>
          <w:color w:val="1A1A1A"/>
        </w:rPr>
        <w:t>Strategia</w:t>
      </w:r>
      <w:proofErr w:type="spellEnd"/>
      <w:r w:rsidRPr="00BE4EE4">
        <w:rPr>
          <w:rFonts w:ascii="Poppins" w:eastAsia="Calibri" w:hAnsi="Poppins" w:cs="Poppins"/>
          <w:color w:val="1A1A1A"/>
        </w:rPr>
        <w:t xml:space="preserve"> Nazionale per le Aree Interne (Italy): The National Strategy for Inner Areas, addressing rural and marginal territories through integrated territorial development approaches.</w:t>
      </w:r>
    </w:p>
    <w:p w14:paraId="51CA920D"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SSPL: </w:t>
      </w:r>
      <w:r w:rsidRPr="00BE4EE4">
        <w:rPr>
          <w:rFonts w:ascii="Poppins" w:eastAsia="Calibri" w:hAnsi="Poppins" w:cs="Poppins"/>
          <w:color w:val="1A1A1A"/>
        </w:rPr>
        <w:t>System Strategy and Policy Lab: The Nigerian partner organisation in EMPOWER+, providing policy research and youth governance expertise.</w:t>
      </w:r>
    </w:p>
    <w:p w14:paraId="6351E0E7"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SSA: </w:t>
      </w:r>
      <w:r w:rsidRPr="00BE4EE4">
        <w:rPr>
          <w:rFonts w:ascii="Poppins" w:eastAsia="Calibri" w:hAnsi="Poppins" w:cs="Poppins"/>
          <w:color w:val="1A1A1A"/>
        </w:rPr>
        <w:t>Sub-Saharan Africa: The geographic designation used throughout this report to refer to the four African partner countries, Botswana, Madagascar, Mauritius, and Nigeria.</w:t>
      </w:r>
    </w:p>
    <w:p w14:paraId="572DE924"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lastRenderedPageBreak/>
        <w:t xml:space="preserve">TIDC: </w:t>
      </w:r>
      <w:r w:rsidRPr="00BE4EE4">
        <w:rPr>
          <w:rFonts w:ascii="Poppins" w:eastAsia="Calibri" w:hAnsi="Poppins" w:cs="Poppins"/>
          <w:color w:val="1A1A1A"/>
        </w:rPr>
        <w:t>Tlokweng District Council: The Botswana local government partner in EMPOWER+.</w:t>
      </w:r>
    </w:p>
    <w:p w14:paraId="1755E126"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VDC: </w:t>
      </w:r>
      <w:r w:rsidRPr="00BE4EE4">
        <w:rPr>
          <w:rFonts w:ascii="Poppins" w:eastAsia="Calibri" w:hAnsi="Poppins" w:cs="Poppins"/>
          <w:color w:val="1A1A1A"/>
        </w:rPr>
        <w:t>Village Development Committee (Botswana): The sub-district community governance structure providing a formal consultation mechanism at village level.</w:t>
      </w:r>
    </w:p>
    <w:p w14:paraId="54AB24D4"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WDC: </w:t>
      </w:r>
      <w:r w:rsidRPr="00BE4EE4">
        <w:rPr>
          <w:rFonts w:ascii="Poppins" w:eastAsia="Calibri" w:hAnsi="Poppins" w:cs="Poppins"/>
          <w:color w:val="1A1A1A"/>
        </w:rPr>
        <w:t>Ward Development Committee (Nigeria): The sub-LGA community governance structure.</w:t>
      </w:r>
    </w:p>
    <w:p w14:paraId="44B0B16E"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WP2: </w:t>
      </w:r>
      <w:r w:rsidRPr="00BE4EE4">
        <w:rPr>
          <w:rFonts w:ascii="Poppins" w:eastAsia="Calibri" w:hAnsi="Poppins" w:cs="Poppins"/>
          <w:color w:val="1A1A1A"/>
        </w:rPr>
        <w:t>Work Package 2 (EMPOWER+): Youth Policy Framework, the work package for which this report is the principal deliverable (D2.1).</w:t>
      </w:r>
    </w:p>
    <w:p w14:paraId="4993AFB0"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YEPP: </w:t>
      </w:r>
      <w:r w:rsidRPr="00BE4EE4">
        <w:rPr>
          <w:rFonts w:ascii="Poppins" w:eastAsia="Calibri" w:hAnsi="Poppins" w:cs="Poppins"/>
          <w:color w:val="1A1A1A"/>
        </w:rPr>
        <w:t>Youth Empowerment Partnership Programme (Italy): The international programme supporting youth empowerment in disadvantaged communities through Local Support Groups with genuine budget authority and long-term relational investment.</w:t>
      </w:r>
    </w:p>
    <w:p w14:paraId="41C7CDE7"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YDF: </w:t>
      </w:r>
      <w:r w:rsidRPr="00BE4EE4">
        <w:rPr>
          <w:rFonts w:ascii="Poppins" w:eastAsia="Calibri" w:hAnsi="Poppins" w:cs="Poppins"/>
          <w:color w:val="1A1A1A"/>
        </w:rPr>
        <w:t>Youth Development Fund (Botswana): The public financing mechanism supporting youth enterprise development.</w:t>
      </w:r>
    </w:p>
    <w:p w14:paraId="2932DE07" w14:textId="77777777" w:rsidR="00F7034B" w:rsidRPr="00BE4EE4" w:rsidRDefault="00000000">
      <w:pPr>
        <w:spacing w:before="40" w:after="40"/>
        <w:rPr>
          <w:rFonts w:ascii="Poppins" w:hAnsi="Poppins" w:cs="Poppins"/>
        </w:rPr>
      </w:pPr>
      <w:r w:rsidRPr="00BE4EE4">
        <w:rPr>
          <w:rFonts w:ascii="Poppins" w:eastAsia="Calibri" w:hAnsi="Poppins" w:cs="Poppins"/>
          <w:b/>
          <w:bCs/>
          <w:color w:val="2F6B3A"/>
        </w:rPr>
        <w:t xml:space="preserve">YUVA: </w:t>
      </w:r>
      <w:r w:rsidRPr="00BE4EE4">
        <w:rPr>
          <w:rFonts w:ascii="Poppins" w:eastAsia="Calibri" w:hAnsi="Poppins" w:cs="Poppins"/>
          <w:color w:val="1A1A1A"/>
        </w:rPr>
        <w:t>Youth United in Voluntary Action: The Mauritian non-governmental organisation targeting rural youth through its Rural Youth Empowerment Project, combining leadership training, micro-funding, and civic engagement.</w:t>
      </w:r>
    </w:p>
    <w:p w14:paraId="673CD706" w14:textId="77777777" w:rsidR="00AF746F" w:rsidRPr="00BE4EE4" w:rsidRDefault="00AF746F">
      <w:pPr>
        <w:rPr>
          <w:rFonts w:ascii="Poppins" w:hAnsi="Poppins" w:cs="Poppins"/>
        </w:rPr>
      </w:pPr>
    </w:p>
    <w:p w14:paraId="5E6D8512" w14:textId="77777777" w:rsidR="00AF746F" w:rsidRPr="00BE4EE4" w:rsidRDefault="00AF746F">
      <w:pPr>
        <w:rPr>
          <w:rFonts w:ascii="Poppins" w:hAnsi="Poppins" w:cs="Poppins"/>
        </w:rPr>
      </w:pPr>
    </w:p>
    <w:p w14:paraId="79F3D5AE" w14:textId="77777777" w:rsidR="00AF746F" w:rsidRPr="00BE4EE4" w:rsidRDefault="00AF746F">
      <w:pPr>
        <w:rPr>
          <w:rFonts w:ascii="Poppins" w:hAnsi="Poppins" w:cs="Poppins"/>
        </w:rPr>
      </w:pPr>
    </w:p>
    <w:p w14:paraId="0EB1F372" w14:textId="77777777" w:rsidR="00C430E0" w:rsidRPr="00BE4EE4" w:rsidRDefault="00C430E0">
      <w:pPr>
        <w:rPr>
          <w:rFonts w:ascii="Poppins" w:hAnsi="Poppins" w:cs="Poppins"/>
        </w:rPr>
      </w:pPr>
    </w:p>
    <w:p w14:paraId="185C492A" w14:textId="77777777" w:rsidR="00C430E0" w:rsidRPr="00BE4EE4" w:rsidRDefault="00C430E0">
      <w:pPr>
        <w:rPr>
          <w:rFonts w:ascii="Poppins" w:hAnsi="Poppins" w:cs="Poppins"/>
        </w:rPr>
      </w:pPr>
    </w:p>
    <w:p w14:paraId="004804FE" w14:textId="77777777" w:rsidR="00C430E0" w:rsidRPr="00BE4EE4" w:rsidRDefault="00C430E0">
      <w:pPr>
        <w:rPr>
          <w:rFonts w:ascii="Poppins" w:hAnsi="Poppins" w:cs="Poppins"/>
        </w:rPr>
      </w:pPr>
    </w:p>
    <w:p w14:paraId="65D1E97F" w14:textId="77777777" w:rsidR="00C430E0" w:rsidRPr="00BE4EE4" w:rsidRDefault="00C430E0">
      <w:pPr>
        <w:rPr>
          <w:rFonts w:ascii="Poppins" w:hAnsi="Poppins" w:cs="Poppins"/>
        </w:rPr>
      </w:pPr>
    </w:p>
    <w:p w14:paraId="7879D782" w14:textId="77777777" w:rsidR="00C430E0" w:rsidRPr="00BE4EE4" w:rsidRDefault="00C430E0">
      <w:pPr>
        <w:rPr>
          <w:rFonts w:ascii="Poppins" w:hAnsi="Poppins" w:cs="Poppins"/>
        </w:rPr>
      </w:pPr>
    </w:p>
    <w:p w14:paraId="3AB0C13B" w14:textId="77777777" w:rsidR="00C430E0" w:rsidRPr="00BE4EE4" w:rsidRDefault="00C430E0">
      <w:pPr>
        <w:rPr>
          <w:rFonts w:ascii="Poppins" w:hAnsi="Poppins" w:cs="Poppins"/>
        </w:rPr>
      </w:pPr>
    </w:p>
    <w:p w14:paraId="3E6E6171" w14:textId="77777777" w:rsidR="00C430E0" w:rsidRPr="00BE4EE4" w:rsidRDefault="00C430E0">
      <w:pPr>
        <w:rPr>
          <w:rFonts w:ascii="Poppins" w:hAnsi="Poppins" w:cs="Poppins"/>
        </w:rPr>
      </w:pPr>
    </w:p>
    <w:p w14:paraId="1A597B02" w14:textId="22FA4776" w:rsidR="00AF746F" w:rsidRPr="00BE4EE4" w:rsidRDefault="00AF746F" w:rsidP="00AF746F">
      <w:pPr>
        <w:pStyle w:val="Heading1"/>
        <w:keepNext/>
        <w:spacing w:before="360" w:after="120"/>
        <w:rPr>
          <w:rFonts w:ascii="Poppins" w:hAnsi="Poppins" w:cs="Poppins"/>
          <w:color w:val="2F6B3A"/>
        </w:rPr>
      </w:pPr>
      <w:bookmarkStart w:id="55" w:name="_Toc233200057"/>
      <w:r w:rsidRPr="00BE4EE4">
        <w:rPr>
          <w:rFonts w:ascii="Poppins" w:eastAsia="Calibri" w:hAnsi="Poppins" w:cs="Poppins"/>
          <w:color w:val="2F6B3A"/>
        </w:rPr>
        <w:lastRenderedPageBreak/>
        <w:t xml:space="preserve">Annex C: </w:t>
      </w:r>
      <w:r w:rsidR="00C430E0" w:rsidRPr="00BE4EE4">
        <w:rPr>
          <w:rFonts w:ascii="Poppins" w:eastAsia="Calibri" w:hAnsi="Poppins" w:cs="Poppins"/>
          <w:color w:val="2F6B3A"/>
        </w:rPr>
        <w:t>Evidence Traceability Table</w:t>
      </w:r>
      <w:bookmarkEnd w:id="55"/>
    </w:p>
    <w:p w14:paraId="731E84E9" w14:textId="77777777" w:rsidR="00C430E0" w:rsidRPr="00BE4EE4" w:rsidRDefault="00C430E0" w:rsidP="00C430E0">
      <w:pPr>
        <w:rPr>
          <w:rFonts w:ascii="Poppins" w:hAnsi="Poppins" w:cs="Poppins"/>
          <w:lang w:val="en-BE"/>
        </w:rPr>
      </w:pPr>
      <w:r w:rsidRPr="00BE4EE4">
        <w:rPr>
          <w:rFonts w:ascii="Poppins" w:hAnsi="Poppins" w:cs="Poppins"/>
          <w:lang w:val="en-BE"/>
        </w:rPr>
        <w:t>This annex links the findings presented in Sections 2 and 3 to their primary source documents and the methods used to generate them, supporting verification and audit readiness. All source documents are the EMPOWER+ country reports produced under Tasks 2.1 and 2.2 and listed in full in the Bibliography.</w:t>
      </w:r>
    </w:p>
    <w:p w14:paraId="0C41E0C2" w14:textId="77777777" w:rsidR="00C430E0" w:rsidRPr="00BE4EE4" w:rsidRDefault="00C430E0" w:rsidP="00C430E0">
      <w:pPr>
        <w:rPr>
          <w:rFonts w:ascii="Poppins" w:hAnsi="Poppins" w:cs="Poppins"/>
          <w:lang w:val="en-BE"/>
        </w:rPr>
      </w:pPr>
    </w:p>
    <w:tbl>
      <w:tblPr>
        <w:tblStyle w:val="PlainTable1"/>
        <w:tblW w:w="0" w:type="auto"/>
        <w:tblLook w:val="04A0" w:firstRow="1" w:lastRow="0" w:firstColumn="1" w:lastColumn="0" w:noHBand="0" w:noVBand="1"/>
      </w:tblPr>
      <w:tblGrid>
        <w:gridCol w:w="1533"/>
        <w:gridCol w:w="2795"/>
        <w:gridCol w:w="2169"/>
        <w:gridCol w:w="2522"/>
      </w:tblGrid>
      <w:tr w:rsidR="00C430E0" w:rsidRPr="00C4290F" w14:paraId="429ED056" w14:textId="77777777" w:rsidTr="00C430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DDC8D1" w14:textId="77777777" w:rsidR="00C430E0" w:rsidRPr="00C4290F" w:rsidRDefault="00C430E0" w:rsidP="00C430E0">
            <w:pPr>
              <w:spacing w:line="276" w:lineRule="auto"/>
              <w:rPr>
                <w:rFonts w:ascii="Poppins" w:hAnsi="Poppins" w:cs="Poppins"/>
                <w:sz w:val="20"/>
                <w:szCs w:val="20"/>
                <w:lang w:val="en-BE"/>
              </w:rPr>
            </w:pPr>
            <w:r w:rsidRPr="00C4290F">
              <w:rPr>
                <w:rFonts w:ascii="Poppins" w:hAnsi="Poppins" w:cs="Poppins"/>
                <w:sz w:val="20"/>
                <w:szCs w:val="20"/>
                <w:lang w:val="en-BE"/>
              </w:rPr>
              <w:t>Country</w:t>
            </w:r>
          </w:p>
        </w:tc>
        <w:tc>
          <w:tcPr>
            <w:tcW w:w="0" w:type="auto"/>
            <w:hideMark/>
          </w:tcPr>
          <w:p w14:paraId="7B6DE299" w14:textId="77777777" w:rsidR="00C430E0" w:rsidRPr="00C4290F" w:rsidRDefault="00C430E0" w:rsidP="00C430E0">
            <w:pPr>
              <w:spacing w:line="276" w:lineRule="auto"/>
              <w:cnfStyle w:val="100000000000" w:firstRow="1"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Data source</w:t>
            </w:r>
          </w:p>
        </w:tc>
        <w:tc>
          <w:tcPr>
            <w:tcW w:w="0" w:type="auto"/>
            <w:hideMark/>
          </w:tcPr>
          <w:p w14:paraId="419AFE58" w14:textId="77777777" w:rsidR="00C430E0" w:rsidRPr="00C4290F" w:rsidRDefault="00C430E0" w:rsidP="00C430E0">
            <w:pPr>
              <w:spacing w:line="276" w:lineRule="auto"/>
              <w:cnfStyle w:val="100000000000" w:firstRow="1"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Method used</w:t>
            </w:r>
          </w:p>
        </w:tc>
        <w:tc>
          <w:tcPr>
            <w:tcW w:w="0" w:type="auto"/>
            <w:hideMark/>
          </w:tcPr>
          <w:p w14:paraId="721C4C0F" w14:textId="77777777" w:rsidR="00C430E0" w:rsidRPr="00C4290F" w:rsidRDefault="00C430E0" w:rsidP="00C430E0">
            <w:pPr>
              <w:spacing w:line="276" w:lineRule="auto"/>
              <w:cnfStyle w:val="100000000000" w:firstRow="1"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Participants</w:t>
            </w:r>
          </w:p>
        </w:tc>
      </w:tr>
      <w:tr w:rsidR="00C430E0" w:rsidRPr="00C4290F" w14:paraId="31EC7BBD" w14:textId="77777777" w:rsidTr="00C43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AB5ADE" w14:textId="77777777" w:rsidR="00C430E0" w:rsidRPr="00C4290F" w:rsidRDefault="00C430E0" w:rsidP="00C430E0">
            <w:pPr>
              <w:spacing w:line="276" w:lineRule="auto"/>
              <w:rPr>
                <w:rFonts w:ascii="Poppins" w:hAnsi="Poppins" w:cs="Poppins"/>
                <w:sz w:val="20"/>
                <w:szCs w:val="20"/>
                <w:lang w:val="en-BE"/>
              </w:rPr>
            </w:pPr>
            <w:r w:rsidRPr="00C4290F">
              <w:rPr>
                <w:rFonts w:ascii="Poppins" w:hAnsi="Poppins" w:cs="Poppins"/>
                <w:sz w:val="20"/>
                <w:szCs w:val="20"/>
                <w:lang w:val="en-BE"/>
              </w:rPr>
              <w:t>Botswana</w:t>
            </w:r>
          </w:p>
        </w:tc>
        <w:tc>
          <w:tcPr>
            <w:tcW w:w="0" w:type="auto"/>
            <w:hideMark/>
          </w:tcPr>
          <w:p w14:paraId="05C9D882" w14:textId="33F27296"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Task 2.1 and Task 2.2 Country Reports (</w:t>
            </w:r>
            <w:r w:rsidR="00243DDD" w:rsidRPr="00C4290F">
              <w:rPr>
                <w:rFonts w:ascii="Poppins" w:hAnsi="Poppins" w:cs="Poppins"/>
                <w:sz w:val="20"/>
                <w:szCs w:val="20"/>
                <w:lang w:val="en-BE"/>
              </w:rPr>
              <w:t>Joseph Mwelwa Consult</w:t>
            </w:r>
            <w:r w:rsidRPr="00C4290F">
              <w:rPr>
                <w:rFonts w:ascii="Poppins" w:hAnsi="Poppins" w:cs="Poppins"/>
                <w:sz w:val="20"/>
                <w:szCs w:val="20"/>
                <w:lang w:val="en-BE"/>
              </w:rPr>
              <w:t xml:space="preserve"> and Tlokweng District Council, 2025 and 2026)</w:t>
            </w:r>
          </w:p>
        </w:tc>
        <w:tc>
          <w:tcPr>
            <w:tcW w:w="0" w:type="auto"/>
            <w:hideMark/>
          </w:tcPr>
          <w:p w14:paraId="2B83AF3F"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 xml:space="preserve">Desk research; two multi stakeholder </w:t>
            </w:r>
            <w:proofErr w:type="spellStart"/>
            <w:r w:rsidRPr="00C4290F">
              <w:rPr>
                <w:rFonts w:ascii="Poppins" w:hAnsi="Poppins" w:cs="Poppins"/>
                <w:sz w:val="20"/>
                <w:szCs w:val="20"/>
                <w:lang w:val="en-BE"/>
              </w:rPr>
              <w:t>FGDs</w:t>
            </w:r>
            <w:proofErr w:type="spellEnd"/>
          </w:p>
        </w:tc>
        <w:tc>
          <w:tcPr>
            <w:tcW w:w="0" w:type="auto"/>
            <w:hideMark/>
          </w:tcPr>
          <w:p w14:paraId="75E6CA51"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proofErr w:type="spellStart"/>
            <w:r w:rsidRPr="00C4290F">
              <w:rPr>
                <w:rFonts w:ascii="Poppins" w:hAnsi="Poppins" w:cs="Poppins"/>
                <w:sz w:val="20"/>
                <w:szCs w:val="20"/>
                <w:lang w:val="en-BE"/>
              </w:rPr>
              <w:t>Mogobane</w:t>
            </w:r>
            <w:proofErr w:type="spellEnd"/>
            <w:r w:rsidRPr="00C4290F">
              <w:rPr>
                <w:rFonts w:ascii="Poppins" w:hAnsi="Poppins" w:cs="Poppins"/>
                <w:sz w:val="20"/>
                <w:szCs w:val="20"/>
                <w:lang w:val="en-BE"/>
              </w:rPr>
              <w:t xml:space="preserve"> and Tlokweng FGD panels (institutional and community stakeholders)</w:t>
            </w:r>
          </w:p>
        </w:tc>
      </w:tr>
      <w:tr w:rsidR="00C430E0" w:rsidRPr="00C4290F" w14:paraId="2DCA3EC7" w14:textId="77777777" w:rsidTr="00C430E0">
        <w:tc>
          <w:tcPr>
            <w:cnfStyle w:val="001000000000" w:firstRow="0" w:lastRow="0" w:firstColumn="1" w:lastColumn="0" w:oddVBand="0" w:evenVBand="0" w:oddHBand="0" w:evenHBand="0" w:firstRowFirstColumn="0" w:firstRowLastColumn="0" w:lastRowFirstColumn="0" w:lastRowLastColumn="0"/>
            <w:tcW w:w="0" w:type="auto"/>
            <w:hideMark/>
          </w:tcPr>
          <w:p w14:paraId="5853D44E" w14:textId="77777777" w:rsidR="00C430E0" w:rsidRPr="00C4290F" w:rsidRDefault="00C430E0" w:rsidP="00C430E0">
            <w:pPr>
              <w:spacing w:line="276" w:lineRule="auto"/>
              <w:rPr>
                <w:rFonts w:ascii="Poppins" w:hAnsi="Poppins" w:cs="Poppins"/>
                <w:sz w:val="20"/>
                <w:szCs w:val="20"/>
                <w:lang w:val="en-BE"/>
              </w:rPr>
            </w:pPr>
            <w:r w:rsidRPr="00C4290F">
              <w:rPr>
                <w:rFonts w:ascii="Poppins" w:hAnsi="Poppins" w:cs="Poppins"/>
                <w:sz w:val="20"/>
                <w:szCs w:val="20"/>
                <w:lang w:val="en-BE"/>
              </w:rPr>
              <w:t>Madagascar</w:t>
            </w:r>
          </w:p>
        </w:tc>
        <w:tc>
          <w:tcPr>
            <w:tcW w:w="0" w:type="auto"/>
            <w:hideMark/>
          </w:tcPr>
          <w:p w14:paraId="23049B97" w14:textId="77777777" w:rsidR="00C430E0" w:rsidRPr="00C4290F" w:rsidRDefault="00C430E0" w:rsidP="00C430E0">
            <w:pPr>
              <w:spacing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Task 2.1 and Task 2.2 Country Reports (CEMEA Madagascar, 2025 and 2026)</w:t>
            </w:r>
          </w:p>
        </w:tc>
        <w:tc>
          <w:tcPr>
            <w:tcW w:w="0" w:type="auto"/>
            <w:hideMark/>
          </w:tcPr>
          <w:p w14:paraId="02D1AEE0" w14:textId="77777777" w:rsidR="00C430E0" w:rsidRPr="00C4290F" w:rsidRDefault="00C430E0" w:rsidP="00C430E0">
            <w:pPr>
              <w:spacing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Stakeholder consultation; rural focus groups with interactive methods</w:t>
            </w:r>
          </w:p>
        </w:tc>
        <w:tc>
          <w:tcPr>
            <w:tcW w:w="0" w:type="auto"/>
            <w:hideMark/>
          </w:tcPr>
          <w:p w14:paraId="412E71A3" w14:textId="77777777" w:rsidR="00C430E0" w:rsidRPr="00C4290F" w:rsidRDefault="00C430E0" w:rsidP="00C430E0">
            <w:pPr>
              <w:spacing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34 stakeholders (Task 2.1); 8 to 12 per focus group, aged 15 to 30 (Task 2.2)</w:t>
            </w:r>
          </w:p>
        </w:tc>
      </w:tr>
      <w:tr w:rsidR="00C430E0" w:rsidRPr="00C4290F" w14:paraId="285A1AD2" w14:textId="77777777" w:rsidTr="00C43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D72A7D" w14:textId="77777777" w:rsidR="00C430E0" w:rsidRPr="00C4290F" w:rsidRDefault="00C430E0" w:rsidP="00C430E0">
            <w:pPr>
              <w:spacing w:line="276" w:lineRule="auto"/>
              <w:rPr>
                <w:rFonts w:ascii="Poppins" w:hAnsi="Poppins" w:cs="Poppins"/>
                <w:sz w:val="20"/>
                <w:szCs w:val="20"/>
                <w:lang w:val="en-BE"/>
              </w:rPr>
            </w:pPr>
            <w:r w:rsidRPr="00C4290F">
              <w:rPr>
                <w:rFonts w:ascii="Poppins" w:hAnsi="Poppins" w:cs="Poppins"/>
                <w:sz w:val="20"/>
                <w:szCs w:val="20"/>
                <w:lang w:val="en-BE"/>
              </w:rPr>
              <w:t>Mauritius</w:t>
            </w:r>
          </w:p>
        </w:tc>
        <w:tc>
          <w:tcPr>
            <w:tcW w:w="0" w:type="auto"/>
            <w:hideMark/>
          </w:tcPr>
          <w:p w14:paraId="5385E137"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 xml:space="preserve">Task 2.1 and Task 2.2 Country Reports (Fédération des Maisons </w:t>
            </w:r>
            <w:proofErr w:type="spellStart"/>
            <w:r w:rsidRPr="00C4290F">
              <w:rPr>
                <w:rFonts w:ascii="Poppins" w:hAnsi="Poppins" w:cs="Poppins"/>
                <w:sz w:val="20"/>
                <w:szCs w:val="20"/>
                <w:lang w:val="en-BE"/>
              </w:rPr>
              <w:t>Familiales</w:t>
            </w:r>
            <w:proofErr w:type="spellEnd"/>
            <w:r w:rsidRPr="00C4290F">
              <w:rPr>
                <w:rFonts w:ascii="Poppins" w:hAnsi="Poppins" w:cs="Poppins"/>
                <w:sz w:val="20"/>
                <w:szCs w:val="20"/>
                <w:lang w:val="en-BE"/>
              </w:rPr>
              <w:t xml:space="preserve"> Rurales de Maurice et Rodrigues, 2025 and 2026)</w:t>
            </w:r>
          </w:p>
        </w:tc>
        <w:tc>
          <w:tcPr>
            <w:tcW w:w="0" w:type="auto"/>
            <w:hideMark/>
          </w:tcPr>
          <w:p w14:paraId="521DD2B9"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Desk research; focus groups across urban and rural districts</w:t>
            </w:r>
          </w:p>
        </w:tc>
        <w:tc>
          <w:tcPr>
            <w:tcW w:w="0" w:type="auto"/>
            <w:hideMark/>
          </w:tcPr>
          <w:p w14:paraId="5D29D195"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25 young people aged 16 to 29, including Rodrigues</w:t>
            </w:r>
          </w:p>
        </w:tc>
      </w:tr>
      <w:tr w:rsidR="00C430E0" w:rsidRPr="00C4290F" w14:paraId="205886CA" w14:textId="77777777" w:rsidTr="00C430E0">
        <w:tc>
          <w:tcPr>
            <w:cnfStyle w:val="001000000000" w:firstRow="0" w:lastRow="0" w:firstColumn="1" w:lastColumn="0" w:oddVBand="0" w:evenVBand="0" w:oddHBand="0" w:evenHBand="0" w:firstRowFirstColumn="0" w:firstRowLastColumn="0" w:lastRowFirstColumn="0" w:lastRowLastColumn="0"/>
            <w:tcW w:w="0" w:type="auto"/>
            <w:hideMark/>
          </w:tcPr>
          <w:p w14:paraId="23C3AE07" w14:textId="77777777" w:rsidR="00C430E0" w:rsidRPr="00C4290F" w:rsidRDefault="00C430E0" w:rsidP="00C430E0">
            <w:pPr>
              <w:spacing w:line="276" w:lineRule="auto"/>
              <w:rPr>
                <w:rFonts w:ascii="Poppins" w:hAnsi="Poppins" w:cs="Poppins"/>
                <w:sz w:val="20"/>
                <w:szCs w:val="20"/>
                <w:lang w:val="en-BE"/>
              </w:rPr>
            </w:pPr>
            <w:r w:rsidRPr="00C4290F">
              <w:rPr>
                <w:rFonts w:ascii="Poppins" w:hAnsi="Poppins" w:cs="Poppins"/>
                <w:sz w:val="20"/>
                <w:szCs w:val="20"/>
                <w:lang w:val="en-BE"/>
              </w:rPr>
              <w:t>Nigeria</w:t>
            </w:r>
          </w:p>
        </w:tc>
        <w:tc>
          <w:tcPr>
            <w:tcW w:w="0" w:type="auto"/>
            <w:hideMark/>
          </w:tcPr>
          <w:p w14:paraId="24F7FDD0" w14:textId="77777777" w:rsidR="00C430E0" w:rsidRPr="00C4290F" w:rsidRDefault="00C430E0" w:rsidP="00C430E0">
            <w:pPr>
              <w:spacing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 xml:space="preserve">Task 2.1 and Task 2.2 Country Reports (System </w:t>
            </w:r>
            <w:r w:rsidRPr="00C4290F">
              <w:rPr>
                <w:rFonts w:ascii="Poppins" w:hAnsi="Poppins" w:cs="Poppins"/>
                <w:sz w:val="20"/>
                <w:szCs w:val="20"/>
                <w:lang w:val="en-BE"/>
              </w:rPr>
              <w:lastRenderedPageBreak/>
              <w:t>Strategy and Policy Lab, 2025 and 2026)</w:t>
            </w:r>
          </w:p>
        </w:tc>
        <w:tc>
          <w:tcPr>
            <w:tcW w:w="0" w:type="auto"/>
            <w:hideMark/>
          </w:tcPr>
          <w:p w14:paraId="58D0E20A" w14:textId="77777777" w:rsidR="00C430E0" w:rsidRPr="00C4290F" w:rsidRDefault="00C430E0" w:rsidP="00C430E0">
            <w:pPr>
              <w:spacing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lastRenderedPageBreak/>
              <w:t xml:space="preserve">Formal diagnostic; structured </w:t>
            </w:r>
            <w:r w:rsidRPr="00C4290F">
              <w:rPr>
                <w:rFonts w:ascii="Poppins" w:hAnsi="Poppins" w:cs="Poppins"/>
                <w:sz w:val="20"/>
                <w:szCs w:val="20"/>
                <w:lang w:val="en-BE"/>
              </w:rPr>
              <w:lastRenderedPageBreak/>
              <w:t>comparative interviews</w:t>
            </w:r>
          </w:p>
        </w:tc>
        <w:tc>
          <w:tcPr>
            <w:tcW w:w="0" w:type="auto"/>
            <w:hideMark/>
          </w:tcPr>
          <w:p w14:paraId="607C6C6D" w14:textId="77777777" w:rsidR="00C430E0" w:rsidRPr="00C4290F" w:rsidRDefault="00C430E0" w:rsidP="00C430E0">
            <w:pPr>
              <w:spacing w:line="276" w:lineRule="auto"/>
              <w:cnfStyle w:val="000000000000" w:firstRow="0" w:lastRow="0" w:firstColumn="0"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lastRenderedPageBreak/>
              <w:t xml:space="preserve">3 respondents (policymaker, </w:t>
            </w:r>
            <w:r w:rsidRPr="00C4290F">
              <w:rPr>
                <w:rFonts w:ascii="Poppins" w:hAnsi="Poppins" w:cs="Poppins"/>
                <w:sz w:val="20"/>
                <w:szCs w:val="20"/>
                <w:lang w:val="en-BE"/>
              </w:rPr>
              <w:lastRenderedPageBreak/>
              <w:t>community leader, youth representative)</w:t>
            </w:r>
          </w:p>
        </w:tc>
      </w:tr>
      <w:tr w:rsidR="00C430E0" w:rsidRPr="00C4290F" w14:paraId="4A97E453" w14:textId="77777777" w:rsidTr="00C43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37AA27" w14:textId="77777777" w:rsidR="00C430E0" w:rsidRPr="00C4290F" w:rsidRDefault="00C430E0" w:rsidP="00C430E0">
            <w:pPr>
              <w:spacing w:line="276" w:lineRule="auto"/>
              <w:rPr>
                <w:rFonts w:ascii="Poppins" w:hAnsi="Poppins" w:cs="Poppins"/>
                <w:sz w:val="20"/>
                <w:szCs w:val="20"/>
                <w:lang w:val="en-BE"/>
              </w:rPr>
            </w:pPr>
            <w:r w:rsidRPr="00C4290F">
              <w:rPr>
                <w:rFonts w:ascii="Poppins" w:hAnsi="Poppins" w:cs="Poppins"/>
                <w:sz w:val="20"/>
                <w:szCs w:val="20"/>
                <w:lang w:val="en-BE"/>
              </w:rPr>
              <w:lastRenderedPageBreak/>
              <w:t>Greece</w:t>
            </w:r>
          </w:p>
        </w:tc>
        <w:tc>
          <w:tcPr>
            <w:tcW w:w="0" w:type="auto"/>
            <w:hideMark/>
          </w:tcPr>
          <w:p w14:paraId="158791E8"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Task 2.1 and Task 2.2 Country Reports (Connectus, 2025 and 2026)</w:t>
            </w:r>
          </w:p>
        </w:tc>
        <w:tc>
          <w:tcPr>
            <w:tcW w:w="0" w:type="auto"/>
            <w:hideMark/>
          </w:tcPr>
          <w:p w14:paraId="0CF52EF3"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Desk research and institutional review</w:t>
            </w:r>
          </w:p>
        </w:tc>
        <w:tc>
          <w:tcPr>
            <w:tcW w:w="0" w:type="auto"/>
            <w:hideMark/>
          </w:tcPr>
          <w:p w14:paraId="3516E690"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Institutional and policy sources</w:t>
            </w:r>
          </w:p>
        </w:tc>
      </w:tr>
      <w:tr w:rsidR="00C430E0" w:rsidRPr="00C4290F" w14:paraId="63B7ECDC" w14:textId="77777777" w:rsidTr="00C430E0">
        <w:tc>
          <w:tcPr>
            <w:tcW w:w="0" w:type="auto"/>
            <w:hideMark/>
          </w:tcPr>
          <w:p w14:paraId="401F1EF7" w14:textId="77777777" w:rsidR="00C430E0" w:rsidRPr="00C4290F" w:rsidRDefault="00C430E0" w:rsidP="00C430E0">
            <w:pPr>
              <w:spacing w:line="276" w:lineRule="auto"/>
              <w:cnfStyle w:val="001000000000" w:firstRow="0" w:lastRow="0" w:firstColumn="1" w:lastColumn="0" w:oddVBand="0" w:evenVBand="0" w:oddHBand="0"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Italy</w:t>
            </w:r>
          </w:p>
        </w:tc>
        <w:tc>
          <w:tcPr>
            <w:tcW w:w="0" w:type="auto"/>
            <w:hideMark/>
          </w:tcPr>
          <w:p w14:paraId="04F3C945" w14:textId="77777777" w:rsidR="00C430E0" w:rsidRPr="00C4290F" w:rsidRDefault="00C430E0" w:rsidP="00C430E0">
            <w:pPr>
              <w:spacing w:line="276" w:lineRule="auto"/>
              <w:rPr>
                <w:rFonts w:ascii="Poppins" w:hAnsi="Poppins" w:cs="Poppins"/>
                <w:sz w:val="20"/>
                <w:szCs w:val="20"/>
                <w:lang w:val="en-BE"/>
              </w:rPr>
            </w:pPr>
            <w:r w:rsidRPr="00C4290F">
              <w:rPr>
                <w:rFonts w:ascii="Poppins" w:hAnsi="Poppins" w:cs="Poppins"/>
                <w:sz w:val="20"/>
                <w:szCs w:val="20"/>
                <w:lang w:val="en-BE"/>
              </w:rPr>
              <w:t>Task 2.1 and Task 2.2 Country Reports (A Rocca, 2025 and 2026)</w:t>
            </w:r>
          </w:p>
        </w:tc>
        <w:tc>
          <w:tcPr>
            <w:tcW w:w="0" w:type="auto"/>
            <w:hideMark/>
          </w:tcPr>
          <w:p w14:paraId="177CFFE3" w14:textId="66795C8B" w:rsidR="00C430E0" w:rsidRPr="00C4290F" w:rsidRDefault="001C3817" w:rsidP="00C430E0">
            <w:pPr>
              <w:spacing w:line="276" w:lineRule="auto"/>
              <w:rPr>
                <w:rFonts w:ascii="Poppins" w:hAnsi="Poppins" w:cs="Poppins"/>
                <w:sz w:val="20"/>
                <w:szCs w:val="20"/>
                <w:lang w:val="en-BE"/>
              </w:rPr>
            </w:pPr>
            <w:r>
              <w:rPr>
                <w:rFonts w:ascii="Poppins" w:hAnsi="Poppins" w:cs="Poppins"/>
                <w:sz w:val="20"/>
                <w:szCs w:val="20"/>
                <w:lang w:val="en-BE"/>
              </w:rPr>
              <w:t>Desk research and institutional review</w:t>
            </w:r>
          </w:p>
        </w:tc>
        <w:tc>
          <w:tcPr>
            <w:tcW w:w="0" w:type="auto"/>
            <w:hideMark/>
          </w:tcPr>
          <w:p w14:paraId="31715433" w14:textId="41C6A297" w:rsidR="00C430E0" w:rsidRPr="00C4290F" w:rsidRDefault="00A55BDD" w:rsidP="00C430E0">
            <w:pPr>
              <w:spacing w:line="276" w:lineRule="auto"/>
              <w:rPr>
                <w:rFonts w:ascii="Poppins" w:hAnsi="Poppins" w:cs="Poppins"/>
                <w:sz w:val="20"/>
                <w:szCs w:val="20"/>
                <w:lang w:val="en-BE"/>
              </w:rPr>
            </w:pPr>
            <w:r w:rsidRPr="00A55BDD">
              <w:rPr>
                <w:rFonts w:ascii="Poppins" w:hAnsi="Poppins" w:cs="Poppins"/>
                <w:sz w:val="20"/>
                <w:szCs w:val="20"/>
              </w:rPr>
              <w:t>Institutional and policy sources</w:t>
            </w:r>
          </w:p>
        </w:tc>
      </w:tr>
      <w:tr w:rsidR="00C430E0" w:rsidRPr="00C4290F" w14:paraId="1FB50BC1" w14:textId="77777777" w:rsidTr="00C43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06A6F0" w14:textId="77777777" w:rsidR="00C430E0" w:rsidRPr="00C4290F" w:rsidRDefault="00C430E0" w:rsidP="00C430E0">
            <w:pPr>
              <w:spacing w:line="276" w:lineRule="auto"/>
              <w:rPr>
                <w:rFonts w:ascii="Poppins" w:hAnsi="Poppins" w:cs="Poppins"/>
                <w:sz w:val="20"/>
                <w:szCs w:val="20"/>
                <w:lang w:val="en-BE"/>
              </w:rPr>
            </w:pPr>
            <w:r w:rsidRPr="00C4290F">
              <w:rPr>
                <w:rFonts w:ascii="Poppins" w:hAnsi="Poppins" w:cs="Poppins"/>
                <w:sz w:val="20"/>
                <w:szCs w:val="20"/>
                <w:lang w:val="en-BE"/>
              </w:rPr>
              <w:t>Romania</w:t>
            </w:r>
          </w:p>
        </w:tc>
        <w:tc>
          <w:tcPr>
            <w:tcW w:w="0" w:type="auto"/>
            <w:hideMark/>
          </w:tcPr>
          <w:p w14:paraId="743F180E"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Task 2.1 and Task 2.2 Country Reports (LAG Napoca Porolissum, 2025 and 2026)</w:t>
            </w:r>
          </w:p>
        </w:tc>
        <w:tc>
          <w:tcPr>
            <w:tcW w:w="0" w:type="auto"/>
            <w:hideMark/>
          </w:tcPr>
          <w:p w14:paraId="338ACD3E"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Desk research; multi level governance mapping</w:t>
            </w:r>
          </w:p>
        </w:tc>
        <w:tc>
          <w:tcPr>
            <w:tcW w:w="0" w:type="auto"/>
            <w:hideMark/>
          </w:tcPr>
          <w:p w14:paraId="6EF09C9C" w14:textId="77777777" w:rsidR="00C430E0" w:rsidRPr="00C4290F" w:rsidRDefault="00C430E0" w:rsidP="00C430E0">
            <w:pPr>
              <w:spacing w:line="276"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0"/>
                <w:szCs w:val="20"/>
                <w:lang w:val="en-BE"/>
              </w:rPr>
            </w:pPr>
            <w:r w:rsidRPr="00C4290F">
              <w:rPr>
                <w:rFonts w:ascii="Poppins" w:hAnsi="Poppins" w:cs="Poppins"/>
                <w:sz w:val="20"/>
                <w:szCs w:val="20"/>
                <w:lang w:val="en-BE"/>
              </w:rPr>
              <w:t>Institutional, county and LAG governance sources</w:t>
            </w:r>
          </w:p>
        </w:tc>
      </w:tr>
    </w:tbl>
    <w:p w14:paraId="1F7C747B" w14:textId="2A96E59F" w:rsidR="00F7034B" w:rsidRPr="00C4290F" w:rsidRDefault="00000000">
      <w:pPr>
        <w:rPr>
          <w:rFonts w:ascii="Poppins" w:hAnsi="Poppins" w:cs="Poppins"/>
          <w:sz w:val="20"/>
          <w:szCs w:val="20"/>
        </w:rPr>
      </w:pPr>
      <w:r w:rsidRPr="00C4290F">
        <w:rPr>
          <w:rFonts w:ascii="Poppins" w:hAnsi="Poppins" w:cs="Poppins"/>
          <w:sz w:val="20"/>
          <w:szCs w:val="20"/>
        </w:rPr>
        <w:br w:type="page"/>
      </w:r>
    </w:p>
    <w:p w14:paraId="048D6688" w14:textId="77777777" w:rsidR="00F7034B" w:rsidRPr="00BE4EE4" w:rsidRDefault="00000000">
      <w:pPr>
        <w:pStyle w:val="Heading1"/>
        <w:keepNext/>
        <w:spacing w:before="360" w:after="120"/>
        <w:rPr>
          <w:rFonts w:ascii="Poppins" w:hAnsi="Poppins" w:cs="Poppins"/>
          <w:color w:val="2F6B3A"/>
        </w:rPr>
      </w:pPr>
      <w:bookmarkStart w:id="56" w:name="_Toc233200058"/>
      <w:r w:rsidRPr="00BE4EE4">
        <w:rPr>
          <w:rFonts w:ascii="Poppins" w:eastAsia="Calibri" w:hAnsi="Poppins" w:cs="Poppins"/>
          <w:color w:val="2F6B3A"/>
        </w:rPr>
        <w:lastRenderedPageBreak/>
        <w:t>Bibliography</w:t>
      </w:r>
      <w:bookmarkEnd w:id="56"/>
    </w:p>
    <w:p w14:paraId="3FA32CB3" w14:textId="77777777" w:rsidR="00F7034B" w:rsidRPr="00BE4EE4" w:rsidRDefault="00000000">
      <w:pPr>
        <w:spacing w:before="60" w:after="100"/>
        <w:jc w:val="both"/>
        <w:rPr>
          <w:rFonts w:ascii="Poppins" w:hAnsi="Poppins" w:cs="Poppins"/>
        </w:rPr>
      </w:pPr>
      <w:r w:rsidRPr="00BE4EE4">
        <w:rPr>
          <w:rFonts w:ascii="Poppins" w:eastAsia="Calibri" w:hAnsi="Poppins" w:cs="Poppins"/>
          <w:color w:val="1A1A1A"/>
        </w:rPr>
        <w:t>The following references include the primary source documents produced under Tasks 2.1 and 2.2 of the EMPOWER+ project, key policy frameworks referenced throughout the analysis, and selected academic and institutional literature informing the comparative framework.</w:t>
      </w:r>
    </w:p>
    <w:p w14:paraId="71F698D4" w14:textId="77777777" w:rsidR="00F7034B" w:rsidRPr="00BE4EE4" w:rsidRDefault="00000000">
      <w:pPr>
        <w:pStyle w:val="Heading2"/>
        <w:keepNext/>
        <w:spacing w:before="280" w:after="80"/>
        <w:rPr>
          <w:rFonts w:ascii="Poppins" w:hAnsi="Poppins" w:cs="Poppins"/>
          <w:color w:val="B7C3A1"/>
        </w:rPr>
      </w:pPr>
      <w:bookmarkStart w:id="57" w:name="_Toc233200059"/>
      <w:r w:rsidRPr="00BE4EE4">
        <w:rPr>
          <w:rFonts w:ascii="Poppins" w:eastAsia="Calibri" w:hAnsi="Poppins" w:cs="Poppins"/>
          <w:color w:val="B7C3A1"/>
        </w:rPr>
        <w:t>Primary Sources: EMPOWER+ Country Reports</w:t>
      </w:r>
      <w:bookmarkEnd w:id="57"/>
    </w:p>
    <w:p w14:paraId="4B39D7CF" w14:textId="0B3D10EF" w:rsidR="00DC334F" w:rsidRPr="00BE4EE4" w:rsidRDefault="00243DDD"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Joseph Mwelwa Consult</w:t>
      </w:r>
      <w:r w:rsidR="00DC334F" w:rsidRPr="00BE4EE4">
        <w:rPr>
          <w:rFonts w:ascii="Poppins" w:eastAsia="Calibri" w:hAnsi="Poppins" w:cs="Poppins"/>
          <w:color w:val="1A1A1A"/>
          <w:lang w:val="en-BE"/>
        </w:rPr>
        <w:t xml:space="preserve"> and Tlokweng District Council (2025). EMPOWER+ Task 2.1 Country Report: Botswana. EMPOWER+ Consortium.</w:t>
      </w:r>
    </w:p>
    <w:p w14:paraId="05190BA6" w14:textId="06FAE0AF" w:rsidR="00DC334F" w:rsidRPr="00BE4EE4" w:rsidRDefault="00243DDD"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Joseph Mwelwa Consult</w:t>
      </w:r>
      <w:r w:rsidR="00DC334F" w:rsidRPr="00BE4EE4">
        <w:rPr>
          <w:rFonts w:ascii="Poppins" w:eastAsia="Calibri" w:hAnsi="Poppins" w:cs="Poppins"/>
          <w:color w:val="1A1A1A"/>
          <w:lang w:val="en-BE"/>
        </w:rPr>
        <w:t xml:space="preserve"> and Tlokweng District Council (2026). EMPOWER+ Task 2.2 Country Report: Botswana. EMPOWER+ Consortium.</w:t>
      </w:r>
    </w:p>
    <w:p w14:paraId="2CE0A4EA"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 xml:space="preserve">Centres </w:t>
      </w:r>
      <w:proofErr w:type="spellStart"/>
      <w:r w:rsidRPr="00BE4EE4">
        <w:rPr>
          <w:rFonts w:ascii="Poppins" w:eastAsia="Calibri" w:hAnsi="Poppins" w:cs="Poppins"/>
          <w:color w:val="1A1A1A"/>
          <w:lang w:val="en-BE"/>
        </w:rPr>
        <w:t>d'Entraînement</w:t>
      </w:r>
      <w:proofErr w:type="spellEnd"/>
      <w:r w:rsidRPr="00BE4EE4">
        <w:rPr>
          <w:rFonts w:ascii="Poppins" w:eastAsia="Calibri" w:hAnsi="Poppins" w:cs="Poppins"/>
          <w:color w:val="1A1A1A"/>
          <w:lang w:val="en-BE"/>
        </w:rPr>
        <w:t xml:space="preserve"> aux </w:t>
      </w:r>
      <w:proofErr w:type="spellStart"/>
      <w:r w:rsidRPr="00BE4EE4">
        <w:rPr>
          <w:rFonts w:ascii="Poppins" w:eastAsia="Calibri" w:hAnsi="Poppins" w:cs="Poppins"/>
          <w:color w:val="1A1A1A"/>
          <w:lang w:val="en-BE"/>
        </w:rPr>
        <w:t>Méthodes</w:t>
      </w:r>
      <w:proofErr w:type="spellEnd"/>
      <w:r w:rsidRPr="00BE4EE4">
        <w:rPr>
          <w:rFonts w:ascii="Poppins" w:eastAsia="Calibri" w:hAnsi="Poppins" w:cs="Poppins"/>
          <w:color w:val="1A1A1A"/>
          <w:lang w:val="en-BE"/>
        </w:rPr>
        <w:t xml:space="preserve"> </w:t>
      </w:r>
      <w:proofErr w:type="spellStart"/>
      <w:r w:rsidRPr="00BE4EE4">
        <w:rPr>
          <w:rFonts w:ascii="Poppins" w:eastAsia="Calibri" w:hAnsi="Poppins" w:cs="Poppins"/>
          <w:color w:val="1A1A1A"/>
          <w:lang w:val="en-BE"/>
        </w:rPr>
        <w:t>d'Éducation</w:t>
      </w:r>
      <w:proofErr w:type="spellEnd"/>
      <w:r w:rsidRPr="00BE4EE4">
        <w:rPr>
          <w:rFonts w:ascii="Poppins" w:eastAsia="Calibri" w:hAnsi="Poppins" w:cs="Poppins"/>
          <w:color w:val="1A1A1A"/>
          <w:lang w:val="en-BE"/>
        </w:rPr>
        <w:t xml:space="preserve"> Active de Madagascar (2025). EMPOWER+ Task 2.1 Country Report: Madagascar. EMPOWER+ Consortium.</w:t>
      </w:r>
    </w:p>
    <w:p w14:paraId="41237508"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 xml:space="preserve">Centres </w:t>
      </w:r>
      <w:proofErr w:type="spellStart"/>
      <w:r w:rsidRPr="00BE4EE4">
        <w:rPr>
          <w:rFonts w:ascii="Poppins" w:eastAsia="Calibri" w:hAnsi="Poppins" w:cs="Poppins"/>
          <w:color w:val="1A1A1A"/>
          <w:lang w:val="en-BE"/>
        </w:rPr>
        <w:t>d'Entraînement</w:t>
      </w:r>
      <w:proofErr w:type="spellEnd"/>
      <w:r w:rsidRPr="00BE4EE4">
        <w:rPr>
          <w:rFonts w:ascii="Poppins" w:eastAsia="Calibri" w:hAnsi="Poppins" w:cs="Poppins"/>
          <w:color w:val="1A1A1A"/>
          <w:lang w:val="en-BE"/>
        </w:rPr>
        <w:t xml:space="preserve"> aux </w:t>
      </w:r>
      <w:proofErr w:type="spellStart"/>
      <w:r w:rsidRPr="00BE4EE4">
        <w:rPr>
          <w:rFonts w:ascii="Poppins" w:eastAsia="Calibri" w:hAnsi="Poppins" w:cs="Poppins"/>
          <w:color w:val="1A1A1A"/>
          <w:lang w:val="en-BE"/>
        </w:rPr>
        <w:t>Méthodes</w:t>
      </w:r>
      <w:proofErr w:type="spellEnd"/>
      <w:r w:rsidRPr="00BE4EE4">
        <w:rPr>
          <w:rFonts w:ascii="Poppins" w:eastAsia="Calibri" w:hAnsi="Poppins" w:cs="Poppins"/>
          <w:color w:val="1A1A1A"/>
          <w:lang w:val="en-BE"/>
        </w:rPr>
        <w:t xml:space="preserve"> </w:t>
      </w:r>
      <w:proofErr w:type="spellStart"/>
      <w:r w:rsidRPr="00BE4EE4">
        <w:rPr>
          <w:rFonts w:ascii="Poppins" w:eastAsia="Calibri" w:hAnsi="Poppins" w:cs="Poppins"/>
          <w:color w:val="1A1A1A"/>
          <w:lang w:val="en-BE"/>
        </w:rPr>
        <w:t>d'Éducation</w:t>
      </w:r>
      <w:proofErr w:type="spellEnd"/>
      <w:r w:rsidRPr="00BE4EE4">
        <w:rPr>
          <w:rFonts w:ascii="Poppins" w:eastAsia="Calibri" w:hAnsi="Poppins" w:cs="Poppins"/>
          <w:color w:val="1A1A1A"/>
          <w:lang w:val="en-BE"/>
        </w:rPr>
        <w:t xml:space="preserve"> Active de Madagascar (2026). EMPOWER+ Task 2.2 Country Report: Madagascar. EMPOWER+ Consortium.</w:t>
      </w:r>
    </w:p>
    <w:p w14:paraId="084D8D73"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Fédération des Maisons Familiales Rurales de Maurice et Rodrigues (2025). EMPOWER+ Task 2.1 Country Report: Mauritius. EMPOWER+ Consortium.</w:t>
      </w:r>
    </w:p>
    <w:p w14:paraId="22382A94"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Fédération des Maisons Familiales Rurales de Maurice et Rodrigues (2026). EMPOWER+ Task 2.2 Country Report: Mauritius. EMPOWER+ Consortium.</w:t>
      </w:r>
    </w:p>
    <w:p w14:paraId="5FC63346"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System Strategy and Policy Lab (2025). EMPOWER+ Task 2.1 Country Report: Nigeria. EMPOWER+ Consortium.</w:t>
      </w:r>
    </w:p>
    <w:p w14:paraId="51A9F785"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System Strategy and Policy Lab (2026). EMPOWER+ Task 2.2 Country Report: Nigeria. EMPOWER+ Consortium.</w:t>
      </w:r>
    </w:p>
    <w:p w14:paraId="00898329"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Connectus (2025). EMPOWER+ Task 2.1 Country Report: Greece. EMPOWER+ Consortium.</w:t>
      </w:r>
    </w:p>
    <w:p w14:paraId="36796734"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lastRenderedPageBreak/>
        <w:t>Connectus (2026). EMPOWER+ Task 2.2 Country Report: Greece. EMPOWER+ Consortium.</w:t>
      </w:r>
    </w:p>
    <w:p w14:paraId="6A790F47"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A Rocca (2025). EMPOWER+ Task 2.1 Country Report: Italy. EMPOWER+ Consortium.</w:t>
      </w:r>
    </w:p>
    <w:p w14:paraId="414C16D8"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A Rocca (2026). EMPOWER+ Task 2.2 Country Report: Italy. EMPOWER+ Consortium.</w:t>
      </w:r>
    </w:p>
    <w:p w14:paraId="1F154692"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LAG Napoca Porolissum (2025). EMPOWER+ Task 2.1 Country Report: Romania. EMPOWER+ Consortium.</w:t>
      </w:r>
    </w:p>
    <w:p w14:paraId="310B4AE0" w14:textId="3793974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LAG Napoca Porolissum (2026). EMPOWER+ Task 2.2 Country Report: Romania. EMPOWER+ Consortium.</w:t>
      </w:r>
    </w:p>
    <w:p w14:paraId="3E8E1808" w14:textId="77777777" w:rsidR="00F7034B" w:rsidRPr="00BE4EE4" w:rsidRDefault="00000000">
      <w:pPr>
        <w:pStyle w:val="Heading2"/>
        <w:keepNext/>
        <w:spacing w:before="280" w:after="80"/>
        <w:rPr>
          <w:rFonts w:ascii="Poppins" w:hAnsi="Poppins" w:cs="Poppins"/>
          <w:color w:val="B7C3A1"/>
        </w:rPr>
      </w:pPr>
      <w:bookmarkStart w:id="58" w:name="_Toc233200060"/>
      <w:r w:rsidRPr="00BE4EE4">
        <w:rPr>
          <w:rFonts w:ascii="Poppins" w:eastAsia="Calibri" w:hAnsi="Poppins" w:cs="Poppins"/>
          <w:color w:val="B7C3A1"/>
        </w:rPr>
        <w:t>Policy Frameworks and International Standards</w:t>
      </w:r>
      <w:bookmarkEnd w:id="58"/>
    </w:p>
    <w:p w14:paraId="75BCB3B4"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African Union (2006). African Youth Charter. African Union Commission, Addis Ababa.</w:t>
      </w:r>
    </w:p>
    <w:p w14:paraId="63470251"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Commonwealth Parliamentary Association (2023). Youth Parliament Toolkit. CPA Headquarters Secretariat, London.</w:t>
      </w:r>
    </w:p>
    <w:p w14:paraId="3630B611"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European Commission (2019). EU Youth Strategy 2019-2027: Engage, Connect, Empower. Publications Office of the European Union, Luxembourg.</w:t>
      </w:r>
    </w:p>
    <w:p w14:paraId="05C57F73"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European Commission (2021). Erasmus+ Programme Guide. European Commission, Brussels.</w:t>
      </w:r>
    </w:p>
    <w:p w14:paraId="04B70705"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Government of Botswana (2010). Revised National Youth Policy. Ministry of Youth, Sport and Culture, Gaborone.</w:t>
      </w:r>
    </w:p>
    <w:p w14:paraId="7C94ECAE"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Government of Mauritius (2016). National Youth Policy. Ministry of Youth and Sports, Port Louis.</w:t>
      </w:r>
    </w:p>
    <w:p w14:paraId="7848D34E"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Government of Nigeria (2018). Not Too Young to Run Act. National Assembly of Nigeria, Abuja.</w:t>
      </w:r>
    </w:p>
    <w:p w14:paraId="1CDF6088"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Government of Nigeria (2019). National Youth Policy. Federal Ministry of Youth and Sports Development, Abuja.</w:t>
      </w:r>
    </w:p>
    <w:p w14:paraId="40870B5C"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lastRenderedPageBreak/>
        <w:t>Government of Romania (2024). National Youth Strategy 2024-2027. Ministry of Family, Youth and Equal Opportunities, Bucharest.</w:t>
      </w:r>
    </w:p>
    <w:p w14:paraId="17CBACFA"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International Institute for Democracy and Electoral Assistance (2021). Youth Parliamentary Academy Toolkit. IDEA, Stockholm.</w:t>
      </w:r>
    </w:p>
    <w:p w14:paraId="7BB7C384"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 xml:space="preserve">Republic of Madagascar (2015). Plan d'Emergence de Madagascar. </w:t>
      </w:r>
      <w:proofErr w:type="spellStart"/>
      <w:r w:rsidRPr="00BE4EE4">
        <w:rPr>
          <w:rFonts w:ascii="Poppins" w:eastAsia="Calibri" w:hAnsi="Poppins" w:cs="Poppins"/>
          <w:color w:val="1A1A1A"/>
          <w:lang w:val="en-BE"/>
        </w:rPr>
        <w:t>Presidence</w:t>
      </w:r>
      <w:proofErr w:type="spellEnd"/>
      <w:r w:rsidRPr="00BE4EE4">
        <w:rPr>
          <w:rFonts w:ascii="Poppins" w:eastAsia="Calibri" w:hAnsi="Poppins" w:cs="Poppins"/>
          <w:color w:val="1A1A1A"/>
          <w:lang w:val="en-BE"/>
        </w:rPr>
        <w:t xml:space="preserve"> de la Republique, Antananarivo.</w:t>
      </w:r>
    </w:p>
    <w:p w14:paraId="2DA71DEB" w14:textId="5CEABEFB"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United Nations (2010). United Nations World Programme of Action for Youth. UN Department of Economic and Social Affairs, New York.</w:t>
      </w:r>
    </w:p>
    <w:p w14:paraId="20692F83" w14:textId="77777777" w:rsidR="00F7034B" w:rsidRPr="00BE4EE4" w:rsidRDefault="00000000">
      <w:pPr>
        <w:pStyle w:val="Heading2"/>
        <w:keepNext/>
        <w:spacing w:before="280" w:after="80"/>
        <w:rPr>
          <w:rFonts w:ascii="Poppins" w:hAnsi="Poppins" w:cs="Poppins"/>
          <w:color w:val="B7C3A1"/>
        </w:rPr>
      </w:pPr>
      <w:bookmarkStart w:id="59" w:name="_Toc233200061"/>
      <w:r w:rsidRPr="00BE4EE4">
        <w:rPr>
          <w:rFonts w:ascii="Poppins" w:eastAsia="Calibri" w:hAnsi="Poppins" w:cs="Poppins"/>
          <w:color w:val="B7C3A1"/>
        </w:rPr>
        <w:t>Academic and Institutional Literature</w:t>
      </w:r>
      <w:bookmarkEnd w:id="59"/>
    </w:p>
    <w:p w14:paraId="6F5DDDAB"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Arnstein, S.R. (1969). A Ladder of Citizen Participation. Journal of the American Institute of Planners, 35(4), 216-224.</w:t>
      </w:r>
    </w:p>
    <w:p w14:paraId="7F0DCA4D"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Brady, B., Chaskin, R. and McGregor, C. (2020). Promoting Civic and Political Engagement among Marginalized Urban Youth in Three Cities. Children and Youth Services Review, 113, 104961.</w:t>
      </w:r>
    </w:p>
    <w:p w14:paraId="4F16DC70" w14:textId="77777777" w:rsidR="00DC334F" w:rsidRPr="00BE4EE4" w:rsidRDefault="00DC334F" w:rsidP="00DC334F">
      <w:pPr>
        <w:spacing w:before="40" w:after="60"/>
        <w:ind w:left="720" w:hanging="720"/>
        <w:jc w:val="both"/>
        <w:rPr>
          <w:rFonts w:ascii="Poppins" w:eastAsia="Calibri" w:hAnsi="Poppins" w:cs="Poppins"/>
          <w:color w:val="1A1A1A"/>
          <w:lang w:val="en-BE"/>
        </w:rPr>
      </w:pPr>
      <w:proofErr w:type="spellStart"/>
      <w:r w:rsidRPr="00BE4EE4">
        <w:rPr>
          <w:rFonts w:ascii="Poppins" w:eastAsia="Calibri" w:hAnsi="Poppins" w:cs="Poppins"/>
          <w:color w:val="1A1A1A"/>
          <w:lang w:val="en-BE"/>
        </w:rPr>
        <w:t>Checkoway</w:t>
      </w:r>
      <w:proofErr w:type="spellEnd"/>
      <w:r w:rsidRPr="00BE4EE4">
        <w:rPr>
          <w:rFonts w:ascii="Poppins" w:eastAsia="Calibri" w:hAnsi="Poppins" w:cs="Poppins"/>
          <w:color w:val="1A1A1A"/>
          <w:lang w:val="en-BE"/>
        </w:rPr>
        <w:t>, B. and Aldana, A. (2013). Four Forms of Youth Civic Engagement for Diverse Democracy. Children and Youth Services Review, 35(11), 1894-1899.</w:t>
      </w:r>
    </w:p>
    <w:p w14:paraId="3B13A741"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Commonwealth Secretariat (2016). Youth Development Index 2016. Commonwealth Secretariat, London.</w:t>
      </w:r>
    </w:p>
    <w:p w14:paraId="7C043809"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Hart, R. (1992). Children's Participation: From Tokenism to Citizenship. UNICEF Innocenti Essays No. 4. UNICEF, Florence.</w:t>
      </w:r>
    </w:p>
    <w:p w14:paraId="48E69FCA"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International Youth Foundation (2015). Reconnecting Youth in Sub-Saharan Africa. International Youth Foundation, Baltimore.</w:t>
      </w:r>
    </w:p>
    <w:p w14:paraId="528CDF39"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 xml:space="preserve">Mannion, G. (2010). After Participation: The </w:t>
      </w:r>
      <w:proofErr w:type="spellStart"/>
      <w:r w:rsidRPr="00BE4EE4">
        <w:rPr>
          <w:rFonts w:ascii="Poppins" w:eastAsia="Calibri" w:hAnsi="Poppins" w:cs="Poppins"/>
          <w:color w:val="1A1A1A"/>
          <w:lang w:val="en-BE"/>
        </w:rPr>
        <w:t>Sociospatial</w:t>
      </w:r>
      <w:proofErr w:type="spellEnd"/>
      <w:r w:rsidRPr="00BE4EE4">
        <w:rPr>
          <w:rFonts w:ascii="Poppins" w:eastAsia="Calibri" w:hAnsi="Poppins" w:cs="Poppins"/>
          <w:color w:val="1A1A1A"/>
          <w:lang w:val="en-BE"/>
        </w:rPr>
        <w:t xml:space="preserve"> Performance of Intergenerational Becoming. In B. Percy-Smith and N. Thomas (Eds.), A Handbook of Children and Young People's Participation. Routledge, London.</w:t>
      </w:r>
    </w:p>
    <w:p w14:paraId="015C7B8E"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lastRenderedPageBreak/>
        <w:t xml:space="preserve">Nesi, H., Meulenberg, M. and </w:t>
      </w:r>
      <w:proofErr w:type="spellStart"/>
      <w:r w:rsidRPr="00BE4EE4">
        <w:rPr>
          <w:rFonts w:ascii="Poppins" w:eastAsia="Calibri" w:hAnsi="Poppins" w:cs="Poppins"/>
          <w:color w:val="1A1A1A"/>
          <w:lang w:val="en-BE"/>
        </w:rPr>
        <w:t>Schafft</w:t>
      </w:r>
      <w:proofErr w:type="spellEnd"/>
      <w:r w:rsidRPr="00BE4EE4">
        <w:rPr>
          <w:rFonts w:ascii="Poppins" w:eastAsia="Calibri" w:hAnsi="Poppins" w:cs="Poppins"/>
          <w:color w:val="1A1A1A"/>
          <w:lang w:val="en-BE"/>
        </w:rPr>
        <w:t>, K. (2016). Youth Participation in Rural Development. Rural Sociology, 81(4), 501-528.</w:t>
      </w:r>
    </w:p>
    <w:p w14:paraId="53FCB500"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Percy-Smith, B. and Thomas, N. (Eds.) (2010). A Handbook of Children and Young People's Participation: Perspectives from Theory and Practice. Routledge, London.</w:t>
      </w:r>
    </w:p>
    <w:p w14:paraId="20B8A69B"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UNDP (2021). Youth Participation in Democratic Governance. UNDP Oslo Governance Centre, Oslo.</w:t>
      </w:r>
    </w:p>
    <w:p w14:paraId="66DC52EF"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UNICEF (2020). Children's Parliaments: A Practical Guide. UNICEF, New York.</w:t>
      </w:r>
    </w:p>
    <w:p w14:paraId="2D6697BB" w14:textId="77777777" w:rsidR="00DC334F"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World Bank (2022). Inclusion and Resilience: Youth Civic Participation in Fragile Contexts. World Bank Group, Washington D.C.</w:t>
      </w:r>
    </w:p>
    <w:p w14:paraId="4634E115" w14:textId="23C78E48" w:rsidR="00F7034B" w:rsidRPr="00BE4EE4" w:rsidRDefault="00DC334F" w:rsidP="00DC334F">
      <w:pPr>
        <w:spacing w:before="40" w:after="60"/>
        <w:ind w:left="720" w:hanging="720"/>
        <w:jc w:val="both"/>
        <w:rPr>
          <w:rFonts w:ascii="Poppins" w:eastAsia="Calibri" w:hAnsi="Poppins" w:cs="Poppins"/>
          <w:color w:val="1A1A1A"/>
          <w:lang w:val="en-BE"/>
        </w:rPr>
      </w:pPr>
      <w:r w:rsidRPr="00BE4EE4">
        <w:rPr>
          <w:rFonts w:ascii="Poppins" w:eastAsia="Calibri" w:hAnsi="Poppins" w:cs="Poppins"/>
          <w:color w:val="1A1A1A"/>
          <w:lang w:val="en-BE"/>
        </w:rPr>
        <w:t>Youth Policy Press (2022). World Youth Report 2022: Social Entrepreneurship and the 2030 Agenda. UN Department of Economic and Social Affairs, New York.</w:t>
      </w:r>
    </w:p>
    <w:sectPr w:rsidR="00F7034B" w:rsidRPr="00BE4EE4" w:rsidSect="00BF7AE4">
      <w:headerReference w:type="default" r:id="rId15"/>
      <w:footerReference w:type="default" r:id="rId16"/>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02EEB" w14:textId="77777777" w:rsidR="007B0C3E" w:rsidRDefault="007B0C3E">
      <w:pPr>
        <w:spacing w:line="240" w:lineRule="auto"/>
      </w:pPr>
      <w:r>
        <w:separator/>
      </w:r>
    </w:p>
  </w:endnote>
  <w:endnote w:type="continuationSeparator" w:id="0">
    <w:p w14:paraId="57401014" w14:textId="77777777" w:rsidR="007B0C3E" w:rsidRDefault="007B0C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1DCC92E-9188-44F8-B208-514DDE9534ED}"/>
    <w:embedBold r:id="rId2" w:fontKey="{E6AE6D6B-2387-4098-AF4E-746099796263}"/>
    <w:embedItalic r:id="rId3" w:fontKey="{CDB5B787-C65E-487A-B62A-16AF5C5EF428}"/>
    <w:embedBoldItalic r:id="rId4" w:fontKey="{CA27533A-269C-4C32-80BC-B4A5A02DE94D}"/>
  </w:font>
  <w:font w:name="Georgia">
    <w:panose1 w:val="02040502050405020303"/>
    <w:charset w:val="00"/>
    <w:family w:val="roman"/>
    <w:pitch w:val="variable"/>
    <w:sig w:usb0="00000287" w:usb1="00000000" w:usb2="00000000" w:usb3="00000000" w:csb0="0000009F" w:csb1="00000000"/>
    <w:embedItalic r:id="rId5" w:fontKey="{EC213EE7-7ED5-411F-937C-7F4A4C80EB9C}"/>
  </w:font>
  <w:font w:name="Cambria">
    <w:panose1 w:val="02040503050406030204"/>
    <w:charset w:val="00"/>
    <w:family w:val="roman"/>
    <w:pitch w:val="variable"/>
    <w:sig w:usb0="E00006FF" w:usb1="420024FF" w:usb2="02000000" w:usb3="00000000" w:csb0="0000019F" w:csb1="00000000"/>
    <w:embedRegular r:id="rId6" w:fontKey="{D30BF99B-EE85-4996-AFC0-DB955015A86D}"/>
  </w:font>
  <w:font w:name="Poppins">
    <w:charset w:val="00"/>
    <w:family w:val="auto"/>
    <w:pitch w:val="variable"/>
    <w:sig w:usb0="00008007" w:usb1="00000000" w:usb2="00000000" w:usb3="00000000" w:csb0="00000093" w:csb1="00000000"/>
    <w:embedRegular r:id="rId7" w:fontKey="{4E9A49A5-2372-454C-B69C-1297E5425D55}"/>
    <w:embedBold r:id="rId8" w:fontKey="{ECA32F8A-7322-43B2-9D05-4E2D32B38650}"/>
    <w:embedItalic r:id="rId9" w:fontKey="{391E97A4-F87A-4DBF-BE93-67846D6D7E03}"/>
    <w:embedBoldItalic r:id="rId10" w:fontKey="{D562D324-EED6-41DA-9229-F4FC0D3CA5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22A4" w14:textId="61040891" w:rsidR="00F06276" w:rsidRPr="00F06276" w:rsidRDefault="00F06276" w:rsidP="00F06276">
    <w:pPr>
      <w:pStyle w:val="Footer"/>
      <w:jc w:val="center"/>
      <w:rPr>
        <w:rFonts w:ascii="Calibri" w:hAnsi="Calibri" w:cs="Calibri"/>
        <w:sz w:val="18"/>
        <w:szCs w:val="18"/>
      </w:rPr>
    </w:pPr>
    <w:r w:rsidRPr="00F06276">
      <w:rPr>
        <w:rFonts w:ascii="Calibri" w:eastAsia="Calibri" w:hAnsi="Calibri" w:cs="Calibri"/>
        <w:noProof/>
        <w:sz w:val="18"/>
        <w:szCs w:val="18"/>
      </w:rPr>
      <w:drawing>
        <wp:anchor distT="114300" distB="114300" distL="114300" distR="114300" simplePos="0" relativeHeight="251663360" behindDoc="0" locked="0" layoutInCell="1" hidden="0" allowOverlap="1" wp14:anchorId="09ED153A" wp14:editId="59B7D01C">
          <wp:simplePos x="0" y="0"/>
          <wp:positionH relativeFrom="column">
            <wp:posOffset>160020</wp:posOffset>
          </wp:positionH>
          <wp:positionV relativeFrom="paragraph">
            <wp:posOffset>-99695</wp:posOffset>
          </wp:positionV>
          <wp:extent cx="6105600" cy="1117600"/>
          <wp:effectExtent l="0" t="0" r="0" b="0"/>
          <wp:wrapTopAndBottom distT="114300" distB="114300"/>
          <wp:docPr id="11301791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5600" cy="1117600"/>
                  </a:xfrm>
                  <a:prstGeom prst="rect">
                    <a:avLst/>
                  </a:prstGeom>
                  <a:ln/>
                </pic:spPr>
              </pic:pic>
            </a:graphicData>
          </a:graphic>
        </wp:anchor>
      </w:drawing>
    </w:r>
    <w:r w:rsidRPr="00F06276">
      <w:rPr>
        <w:rFonts w:ascii="Calibri" w:hAnsi="Calibri" w:cs="Calibri"/>
        <w:i/>
        <w:iCs/>
        <w:sz w:val="18"/>
        <w:szCs w:val="18"/>
      </w:rPr>
      <w:t>ERASMUS-YOUTH-2025-CB-SSA – Project number: 101243075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C6BA" w14:textId="77777777" w:rsidR="00BF7AE4" w:rsidRPr="00F06276" w:rsidRDefault="00BF7AE4" w:rsidP="00BF7AE4">
    <w:pPr>
      <w:spacing w:line="240" w:lineRule="auto"/>
      <w:jc w:val="center"/>
      <w:rPr>
        <w:rFonts w:ascii="Calibri" w:eastAsia="Calibri" w:hAnsi="Calibri" w:cs="Calibri"/>
      </w:rPr>
    </w:pPr>
    <w:r w:rsidRPr="00F06276">
      <w:rPr>
        <w:rFonts w:ascii="Calibri" w:eastAsia="Calibri" w:hAnsi="Calibri" w:cs="Calibri"/>
        <w:i/>
        <w:iCs/>
        <w:sz w:val="18"/>
        <w:szCs w:val="18"/>
      </w:rPr>
      <w:t>ERASMUS-YOUTH-2025-CB-SSA – Project number: 101243075</w:t>
    </w:r>
    <w:r w:rsidRPr="00F06276">
      <w:rPr>
        <w:rFonts w:ascii="Calibri" w:eastAsia="Calibri" w:hAnsi="Calibri" w:cs="Calibri"/>
        <w:noProof/>
      </w:rPr>
      <w:drawing>
        <wp:anchor distT="114300" distB="114300" distL="114300" distR="114300" simplePos="0" relativeHeight="251661312" behindDoc="0" locked="0" layoutInCell="1" hidden="0" allowOverlap="1" wp14:anchorId="1231A8FC" wp14:editId="162C961A">
          <wp:simplePos x="0" y="0"/>
          <wp:positionH relativeFrom="column">
            <wp:posOffset>114300</wp:posOffset>
          </wp:positionH>
          <wp:positionV relativeFrom="paragraph">
            <wp:posOffset>114300</wp:posOffset>
          </wp:positionV>
          <wp:extent cx="6105600" cy="1117600"/>
          <wp:effectExtent l="0" t="0" r="0" b="0"/>
          <wp:wrapTopAndBottom distT="114300" distB="114300"/>
          <wp:docPr id="4197702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5600" cy="1117600"/>
                  </a:xfrm>
                  <a:prstGeom prst="rect">
                    <a:avLst/>
                  </a:prstGeom>
                  <a:ln/>
                </pic:spPr>
              </pic:pic>
            </a:graphicData>
          </a:graphic>
        </wp:anchor>
      </w:drawing>
    </w:r>
  </w:p>
  <w:p w14:paraId="7BCE81B0" w14:textId="573E275A" w:rsidR="00BF7AE4" w:rsidRDefault="00BF7A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AF33" w14:textId="1899A1AE" w:rsidR="004E4B0C" w:rsidRDefault="006A4A85" w:rsidP="00291E72">
    <w:pPr>
      <w:pBdr>
        <w:top w:val="single" w:sz="4" w:space="0" w:color="4F81BD"/>
      </w:pBdr>
      <w:tabs>
        <w:tab w:val="center" w:pos="4514"/>
      </w:tabs>
      <w:spacing w:before="60" w:line="240" w:lineRule="auto"/>
    </w:pPr>
    <w:r>
      <w:rPr>
        <w:rFonts w:ascii="Calibri" w:hAnsi="Calibri" w:cs="Calibri"/>
        <w:color w:val="666666"/>
        <w:sz w:val="18"/>
        <w:szCs w:val="18"/>
      </w:rPr>
      <w:tab/>
    </w:r>
    <w:r w:rsidR="004E4B0C" w:rsidRPr="00F06276">
      <w:rPr>
        <w:rFonts w:ascii="Calibri" w:eastAsia="Calibri" w:hAnsi="Calibri" w:cs="Calibri"/>
        <w:noProof/>
        <w:sz w:val="18"/>
        <w:szCs w:val="18"/>
      </w:rPr>
      <w:drawing>
        <wp:anchor distT="114300" distB="114300" distL="114300" distR="114300" simplePos="0" relativeHeight="251665408" behindDoc="0" locked="0" layoutInCell="1" hidden="0" allowOverlap="1" wp14:anchorId="437BB398" wp14:editId="16BB75FD">
          <wp:simplePos x="0" y="0"/>
          <wp:positionH relativeFrom="column">
            <wp:posOffset>0</wp:posOffset>
          </wp:positionH>
          <wp:positionV relativeFrom="paragraph">
            <wp:posOffset>335280</wp:posOffset>
          </wp:positionV>
          <wp:extent cx="6105600" cy="1117600"/>
          <wp:effectExtent l="0" t="0" r="0" b="0"/>
          <wp:wrapTopAndBottom distT="114300" distB="114300"/>
          <wp:docPr id="16026642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5600" cy="1117600"/>
                  </a:xfrm>
                  <a:prstGeom prst="rect">
                    <a:avLst/>
                  </a:prstGeom>
                  <a:ln/>
                </pic:spPr>
              </pic:pic>
            </a:graphicData>
          </a:graphic>
        </wp:anchor>
      </w:drawing>
    </w:r>
  </w:p>
  <w:p w14:paraId="74299F91" w14:textId="043664E9" w:rsidR="00F7034B" w:rsidRPr="004E4B0C" w:rsidRDefault="004E4B0C" w:rsidP="004E4B0C">
    <w:pPr>
      <w:pStyle w:val="Footer"/>
      <w:jc w:val="center"/>
      <w:rPr>
        <w:rFonts w:ascii="Calibri" w:hAnsi="Calibri" w:cs="Calibri"/>
        <w:sz w:val="18"/>
        <w:szCs w:val="18"/>
      </w:rPr>
    </w:pPr>
    <w:r>
      <w:rPr>
        <w:rFonts w:ascii="Calibri" w:hAnsi="Calibri" w:cs="Calibri"/>
        <w:i/>
        <w:iCs/>
        <w:sz w:val="18"/>
        <w:szCs w:val="18"/>
      </w:rPr>
      <w:t>E</w:t>
    </w:r>
    <w:r w:rsidRPr="00F06276">
      <w:rPr>
        <w:rFonts w:ascii="Calibri" w:hAnsi="Calibri" w:cs="Calibri"/>
        <w:i/>
        <w:iCs/>
        <w:sz w:val="18"/>
        <w:szCs w:val="18"/>
      </w:rPr>
      <w:t>RASMUS-YOUTH-2025-CB-SSA – Project number: 101243075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7987E" w14:textId="77777777" w:rsidR="007B0C3E" w:rsidRDefault="007B0C3E">
      <w:pPr>
        <w:spacing w:line="240" w:lineRule="auto"/>
      </w:pPr>
      <w:r>
        <w:separator/>
      </w:r>
    </w:p>
  </w:footnote>
  <w:footnote w:type="continuationSeparator" w:id="0">
    <w:p w14:paraId="2A391B1C" w14:textId="77777777" w:rsidR="007B0C3E" w:rsidRDefault="007B0C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FEDD" w14:textId="77777777" w:rsidR="00F7034B" w:rsidRDefault="00000000">
    <w:pPr>
      <w:spacing w:after="160" w:line="278" w:lineRule="auto"/>
      <w:jc w:val="right"/>
    </w:pPr>
    <w:r>
      <w:rPr>
        <w:rFonts w:ascii="Calibri" w:eastAsia="Calibri" w:hAnsi="Calibri" w:cs="Calibri"/>
        <w:noProof/>
      </w:rPr>
      <w:drawing>
        <wp:inline distT="114300" distB="114300" distL="114300" distR="114300" wp14:anchorId="2DB69731" wp14:editId="50D2FE07">
          <wp:extent cx="931069" cy="890588"/>
          <wp:effectExtent l="0" t="0" r="0" b="0"/>
          <wp:docPr id="4062677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31069" cy="890588"/>
                  </a:xfrm>
                  <a:prstGeom prst="rect">
                    <a:avLst/>
                  </a:prstGeom>
                  <a:ln/>
                </pic:spPr>
              </pic:pic>
            </a:graphicData>
          </a:graphic>
        </wp:inline>
      </w:drawing>
    </w:r>
    <w:r>
      <w:pict w14:anchorId="49683A78">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26E3"/>
    <w:multiLevelType w:val="multilevel"/>
    <w:tmpl w:val="A9C0BE0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D9209A"/>
    <w:multiLevelType w:val="multilevel"/>
    <w:tmpl w:val="E00CC9C4"/>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6189175">
    <w:abstractNumId w:val="0"/>
  </w:num>
  <w:num w:numId="2" w16cid:durableId="1471899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34B"/>
    <w:rsid w:val="000150FE"/>
    <w:rsid w:val="00025B3E"/>
    <w:rsid w:val="00061F40"/>
    <w:rsid w:val="00063422"/>
    <w:rsid w:val="000C6D2B"/>
    <w:rsid w:val="000E1E7A"/>
    <w:rsid w:val="00147E25"/>
    <w:rsid w:val="00172BFB"/>
    <w:rsid w:val="001762C5"/>
    <w:rsid w:val="00191040"/>
    <w:rsid w:val="001C04C0"/>
    <w:rsid w:val="001C3817"/>
    <w:rsid w:val="001D7AE6"/>
    <w:rsid w:val="00211A0F"/>
    <w:rsid w:val="002166DC"/>
    <w:rsid w:val="00243DDD"/>
    <w:rsid w:val="002462A0"/>
    <w:rsid w:val="00257980"/>
    <w:rsid w:val="00263C8C"/>
    <w:rsid w:val="002823C1"/>
    <w:rsid w:val="0029167A"/>
    <w:rsid w:val="00291E72"/>
    <w:rsid w:val="002D00CE"/>
    <w:rsid w:val="00302758"/>
    <w:rsid w:val="00306284"/>
    <w:rsid w:val="00320448"/>
    <w:rsid w:val="0033525D"/>
    <w:rsid w:val="00362808"/>
    <w:rsid w:val="00395DE0"/>
    <w:rsid w:val="003B3AAF"/>
    <w:rsid w:val="0041419C"/>
    <w:rsid w:val="00415A56"/>
    <w:rsid w:val="004545D8"/>
    <w:rsid w:val="004944DF"/>
    <w:rsid w:val="004952F5"/>
    <w:rsid w:val="004A1D26"/>
    <w:rsid w:val="004B48B8"/>
    <w:rsid w:val="004E4B0C"/>
    <w:rsid w:val="004F04E4"/>
    <w:rsid w:val="00517EC5"/>
    <w:rsid w:val="00527573"/>
    <w:rsid w:val="0052774F"/>
    <w:rsid w:val="00537D10"/>
    <w:rsid w:val="005643BC"/>
    <w:rsid w:val="00593C5E"/>
    <w:rsid w:val="005A61F4"/>
    <w:rsid w:val="005D33F1"/>
    <w:rsid w:val="005F19FF"/>
    <w:rsid w:val="005F6C66"/>
    <w:rsid w:val="00626FB7"/>
    <w:rsid w:val="006657D9"/>
    <w:rsid w:val="00666D4C"/>
    <w:rsid w:val="00671739"/>
    <w:rsid w:val="0067396D"/>
    <w:rsid w:val="006A4A85"/>
    <w:rsid w:val="006B4701"/>
    <w:rsid w:val="006C7FAD"/>
    <w:rsid w:val="006D330E"/>
    <w:rsid w:val="007149BE"/>
    <w:rsid w:val="00740389"/>
    <w:rsid w:val="00781C7A"/>
    <w:rsid w:val="0079532C"/>
    <w:rsid w:val="007B0C3E"/>
    <w:rsid w:val="007E54EE"/>
    <w:rsid w:val="00836CC1"/>
    <w:rsid w:val="0084015A"/>
    <w:rsid w:val="008806BF"/>
    <w:rsid w:val="008853C8"/>
    <w:rsid w:val="008934FF"/>
    <w:rsid w:val="008E1550"/>
    <w:rsid w:val="009019BD"/>
    <w:rsid w:val="00902B32"/>
    <w:rsid w:val="00946CFA"/>
    <w:rsid w:val="00992880"/>
    <w:rsid w:val="00997246"/>
    <w:rsid w:val="009C6E45"/>
    <w:rsid w:val="009D0278"/>
    <w:rsid w:val="009D1D60"/>
    <w:rsid w:val="009D6A68"/>
    <w:rsid w:val="009E6D45"/>
    <w:rsid w:val="00A0711D"/>
    <w:rsid w:val="00A254A5"/>
    <w:rsid w:val="00A33DE8"/>
    <w:rsid w:val="00A55BDD"/>
    <w:rsid w:val="00A55D90"/>
    <w:rsid w:val="00A92E95"/>
    <w:rsid w:val="00AA7DB0"/>
    <w:rsid w:val="00AF746F"/>
    <w:rsid w:val="00B2602A"/>
    <w:rsid w:val="00B55EE6"/>
    <w:rsid w:val="00B65425"/>
    <w:rsid w:val="00B95D11"/>
    <w:rsid w:val="00BB5850"/>
    <w:rsid w:val="00BC6461"/>
    <w:rsid w:val="00BE4EE4"/>
    <w:rsid w:val="00BE51A1"/>
    <w:rsid w:val="00BF7AE4"/>
    <w:rsid w:val="00C007BD"/>
    <w:rsid w:val="00C03D0A"/>
    <w:rsid w:val="00C155C8"/>
    <w:rsid w:val="00C326AA"/>
    <w:rsid w:val="00C407BD"/>
    <w:rsid w:val="00C4290F"/>
    <w:rsid w:val="00C430E0"/>
    <w:rsid w:val="00C56152"/>
    <w:rsid w:val="00C73AE1"/>
    <w:rsid w:val="00C87D5C"/>
    <w:rsid w:val="00C93FD3"/>
    <w:rsid w:val="00CB10E1"/>
    <w:rsid w:val="00CC2B04"/>
    <w:rsid w:val="00D06B6A"/>
    <w:rsid w:val="00D126EE"/>
    <w:rsid w:val="00D45941"/>
    <w:rsid w:val="00D540B4"/>
    <w:rsid w:val="00D578F4"/>
    <w:rsid w:val="00D7460A"/>
    <w:rsid w:val="00DB0863"/>
    <w:rsid w:val="00DC2E85"/>
    <w:rsid w:val="00DC334F"/>
    <w:rsid w:val="00DD76FE"/>
    <w:rsid w:val="00DF43A7"/>
    <w:rsid w:val="00E333E5"/>
    <w:rsid w:val="00E67E5D"/>
    <w:rsid w:val="00E95EE2"/>
    <w:rsid w:val="00EA6670"/>
    <w:rsid w:val="00EC5FD1"/>
    <w:rsid w:val="00EC6265"/>
    <w:rsid w:val="00F003D8"/>
    <w:rsid w:val="00F06276"/>
    <w:rsid w:val="00F33383"/>
    <w:rsid w:val="00F35F22"/>
    <w:rsid w:val="00F41A2C"/>
    <w:rsid w:val="00F455C9"/>
    <w:rsid w:val="00F5208F"/>
    <w:rsid w:val="00F66D7F"/>
    <w:rsid w:val="00F7034B"/>
    <w:rsid w:val="00F9377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78343"/>
  <w15:docId w15:val="{5EA7C520-5D3F-4901-A39D-1F38279E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Calibri" w:hAnsi="Calibri" w:cs="Calibri"/>
      <w:b/>
      <w:bCs/>
      <w:color w:val="1F497D"/>
      <w:sz w:val="48"/>
      <w:szCs w:val="48"/>
    </w:rPr>
  </w:style>
  <w:style w:type="paragraph" w:styleId="Heading2">
    <w:name w:val="heading 2"/>
    <w:uiPriority w:val="9"/>
    <w:unhideWhenUsed/>
    <w:qFormat/>
    <w:pPr>
      <w:outlineLvl w:val="1"/>
    </w:pPr>
    <w:rPr>
      <w:rFonts w:ascii="Calibri" w:hAnsi="Calibri" w:cs="Calibri"/>
      <w:b/>
      <w:bCs/>
      <w:color w:val="4F81BD"/>
      <w:sz w:val="36"/>
      <w:szCs w:val="36"/>
    </w:rPr>
  </w:style>
  <w:style w:type="paragraph" w:styleId="Heading3">
    <w:name w:val="heading 3"/>
    <w:uiPriority w:val="9"/>
    <w:unhideWhenUsed/>
    <w:qFormat/>
    <w:pPr>
      <w:outlineLvl w:val="2"/>
    </w:pPr>
    <w:rPr>
      <w:rFonts w:ascii="Calibri" w:hAnsi="Calibri" w:cs="Calibri"/>
      <w:b/>
      <w:bCs/>
      <w:color w:val="1F497D"/>
      <w:sz w:val="28"/>
      <w:szCs w:val="28"/>
    </w:rPr>
  </w:style>
  <w:style w:type="paragraph" w:styleId="Heading4">
    <w:name w:val="heading 4"/>
    <w:uiPriority w:val="9"/>
    <w:unhideWhenUsed/>
    <w:qFormat/>
    <w:pPr>
      <w:outlineLvl w:val="3"/>
    </w:pPr>
    <w:rPr>
      <w:rFonts w:ascii="Calibri" w:hAnsi="Calibri" w:cs="Calibri"/>
      <w:b/>
      <w:bCs/>
      <w:color w:val="1A1A1A"/>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OC1">
    <w:name w:val="toc 1"/>
    <w:uiPriority w:val="39"/>
    <w:rPr>
      <w:rFonts w:ascii="Calibri" w:hAnsi="Calibri" w:cs="Calibri"/>
    </w:rPr>
  </w:style>
  <w:style w:type="paragraph" w:styleId="TOC2">
    <w:name w:val="toc 2"/>
    <w:basedOn w:val="Normal"/>
    <w:next w:val="Normal"/>
    <w:autoRedefine/>
    <w:uiPriority w:val="39"/>
    <w:unhideWhenUsed/>
    <w:rsid w:val="002823C1"/>
    <w:pPr>
      <w:tabs>
        <w:tab w:val="right" w:leader="dot" w:pos="9019"/>
      </w:tabs>
      <w:spacing w:after="100"/>
      <w:ind w:left="220"/>
    </w:pPr>
  </w:style>
  <w:style w:type="paragraph" w:styleId="TOC3">
    <w:name w:val="toc 3"/>
    <w:basedOn w:val="Normal"/>
    <w:next w:val="Normal"/>
    <w:autoRedefine/>
    <w:uiPriority w:val="39"/>
    <w:unhideWhenUsed/>
    <w:rsid w:val="00BF7AE4"/>
    <w:pPr>
      <w:spacing w:after="100"/>
      <w:ind w:left="440"/>
    </w:pPr>
  </w:style>
  <w:style w:type="paragraph" w:styleId="TOC4">
    <w:name w:val="toc 4"/>
    <w:basedOn w:val="Normal"/>
    <w:next w:val="Normal"/>
    <w:autoRedefine/>
    <w:uiPriority w:val="39"/>
    <w:unhideWhenUsed/>
    <w:rsid w:val="00BF7AE4"/>
    <w:pPr>
      <w:spacing w:after="100"/>
      <w:ind w:left="660"/>
    </w:pPr>
  </w:style>
  <w:style w:type="paragraph" w:styleId="TOC5">
    <w:name w:val="toc 5"/>
    <w:basedOn w:val="Normal"/>
    <w:next w:val="Normal"/>
    <w:autoRedefine/>
    <w:uiPriority w:val="39"/>
    <w:unhideWhenUsed/>
    <w:rsid w:val="00BF7AE4"/>
    <w:pPr>
      <w:spacing w:after="100" w:line="278" w:lineRule="auto"/>
      <w:ind w:left="960"/>
    </w:pPr>
    <w:rPr>
      <w:rFonts w:asciiTheme="minorHAnsi" w:eastAsiaTheme="minorEastAsia" w:hAnsiTheme="minorHAnsi" w:cstheme="minorBidi"/>
      <w:kern w:val="2"/>
      <w:sz w:val="24"/>
      <w:szCs w:val="24"/>
      <w:lang w:val="en-BE"/>
      <w14:ligatures w14:val="standardContextual"/>
    </w:rPr>
  </w:style>
  <w:style w:type="paragraph" w:styleId="TOC6">
    <w:name w:val="toc 6"/>
    <w:basedOn w:val="Normal"/>
    <w:next w:val="Normal"/>
    <w:autoRedefine/>
    <w:uiPriority w:val="39"/>
    <w:unhideWhenUsed/>
    <w:rsid w:val="00BF7AE4"/>
    <w:pPr>
      <w:spacing w:after="100" w:line="278" w:lineRule="auto"/>
      <w:ind w:left="1200"/>
    </w:pPr>
    <w:rPr>
      <w:rFonts w:asciiTheme="minorHAnsi" w:eastAsiaTheme="minorEastAsia" w:hAnsiTheme="minorHAnsi" w:cstheme="minorBidi"/>
      <w:kern w:val="2"/>
      <w:sz w:val="24"/>
      <w:szCs w:val="24"/>
      <w:lang w:val="en-BE"/>
      <w14:ligatures w14:val="standardContextual"/>
    </w:rPr>
  </w:style>
  <w:style w:type="paragraph" w:styleId="TOC7">
    <w:name w:val="toc 7"/>
    <w:basedOn w:val="Normal"/>
    <w:next w:val="Normal"/>
    <w:autoRedefine/>
    <w:uiPriority w:val="39"/>
    <w:unhideWhenUsed/>
    <w:rsid w:val="00BF7AE4"/>
    <w:pPr>
      <w:spacing w:after="100" w:line="278" w:lineRule="auto"/>
      <w:ind w:left="1440"/>
    </w:pPr>
    <w:rPr>
      <w:rFonts w:asciiTheme="minorHAnsi" w:eastAsiaTheme="minorEastAsia" w:hAnsiTheme="minorHAnsi" w:cstheme="minorBidi"/>
      <w:kern w:val="2"/>
      <w:sz w:val="24"/>
      <w:szCs w:val="24"/>
      <w:lang w:val="en-BE"/>
      <w14:ligatures w14:val="standardContextual"/>
    </w:rPr>
  </w:style>
  <w:style w:type="paragraph" w:styleId="TOC8">
    <w:name w:val="toc 8"/>
    <w:basedOn w:val="Normal"/>
    <w:next w:val="Normal"/>
    <w:autoRedefine/>
    <w:uiPriority w:val="39"/>
    <w:unhideWhenUsed/>
    <w:rsid w:val="00BF7AE4"/>
    <w:pPr>
      <w:spacing w:after="100" w:line="278" w:lineRule="auto"/>
      <w:ind w:left="1680"/>
    </w:pPr>
    <w:rPr>
      <w:rFonts w:asciiTheme="minorHAnsi" w:eastAsiaTheme="minorEastAsia" w:hAnsiTheme="minorHAnsi" w:cstheme="minorBidi"/>
      <w:kern w:val="2"/>
      <w:sz w:val="24"/>
      <w:szCs w:val="24"/>
      <w:lang w:val="en-BE"/>
      <w14:ligatures w14:val="standardContextual"/>
    </w:rPr>
  </w:style>
  <w:style w:type="paragraph" w:styleId="TOC9">
    <w:name w:val="toc 9"/>
    <w:basedOn w:val="Normal"/>
    <w:next w:val="Normal"/>
    <w:autoRedefine/>
    <w:uiPriority w:val="39"/>
    <w:unhideWhenUsed/>
    <w:rsid w:val="00BF7AE4"/>
    <w:pPr>
      <w:spacing w:after="100" w:line="278" w:lineRule="auto"/>
      <w:ind w:left="1920"/>
    </w:pPr>
    <w:rPr>
      <w:rFonts w:asciiTheme="minorHAnsi" w:eastAsiaTheme="minorEastAsia" w:hAnsiTheme="minorHAnsi" w:cstheme="minorBidi"/>
      <w:kern w:val="2"/>
      <w:sz w:val="24"/>
      <w:szCs w:val="24"/>
      <w:lang w:val="en-BE"/>
      <w14:ligatures w14:val="standardContextual"/>
    </w:rPr>
  </w:style>
  <w:style w:type="character" w:styleId="Hyperlink">
    <w:name w:val="Hyperlink"/>
    <w:basedOn w:val="DefaultParagraphFont"/>
    <w:uiPriority w:val="99"/>
    <w:unhideWhenUsed/>
    <w:rsid w:val="00BF7AE4"/>
    <w:rPr>
      <w:color w:val="0000FF" w:themeColor="hyperlink"/>
      <w:u w:val="single"/>
    </w:rPr>
  </w:style>
  <w:style w:type="character" w:styleId="UnresolvedMention">
    <w:name w:val="Unresolved Mention"/>
    <w:basedOn w:val="DefaultParagraphFont"/>
    <w:uiPriority w:val="99"/>
    <w:semiHidden/>
    <w:unhideWhenUsed/>
    <w:rsid w:val="00BF7AE4"/>
    <w:rPr>
      <w:color w:val="605E5C"/>
      <w:shd w:val="clear" w:color="auto" w:fill="E1DFDD"/>
    </w:rPr>
  </w:style>
  <w:style w:type="paragraph" w:styleId="Header">
    <w:name w:val="header"/>
    <w:basedOn w:val="Normal"/>
    <w:link w:val="HeaderChar"/>
    <w:uiPriority w:val="99"/>
    <w:unhideWhenUsed/>
    <w:rsid w:val="00BF7AE4"/>
    <w:pPr>
      <w:tabs>
        <w:tab w:val="center" w:pos="4513"/>
        <w:tab w:val="right" w:pos="9026"/>
      </w:tabs>
      <w:spacing w:line="240" w:lineRule="auto"/>
    </w:pPr>
  </w:style>
  <w:style w:type="character" w:customStyle="1" w:styleId="HeaderChar">
    <w:name w:val="Header Char"/>
    <w:basedOn w:val="DefaultParagraphFont"/>
    <w:link w:val="Header"/>
    <w:uiPriority w:val="99"/>
    <w:rsid w:val="00BF7AE4"/>
  </w:style>
  <w:style w:type="paragraph" w:styleId="Footer">
    <w:name w:val="footer"/>
    <w:basedOn w:val="Normal"/>
    <w:link w:val="FooterChar"/>
    <w:uiPriority w:val="99"/>
    <w:unhideWhenUsed/>
    <w:rsid w:val="00BF7AE4"/>
    <w:pPr>
      <w:tabs>
        <w:tab w:val="center" w:pos="4513"/>
        <w:tab w:val="right" w:pos="9026"/>
      </w:tabs>
      <w:spacing w:line="240" w:lineRule="auto"/>
    </w:pPr>
  </w:style>
  <w:style w:type="character" w:customStyle="1" w:styleId="FooterChar">
    <w:name w:val="Footer Char"/>
    <w:basedOn w:val="DefaultParagraphFont"/>
    <w:link w:val="Footer"/>
    <w:uiPriority w:val="99"/>
    <w:rsid w:val="00BF7AE4"/>
  </w:style>
  <w:style w:type="table" w:styleId="PlainTable1">
    <w:name w:val="Plain Table 1"/>
    <w:basedOn w:val="TableNormal"/>
    <w:uiPriority w:val="41"/>
    <w:rsid w:val="00DD76F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0390011445F443992AAA180A5C5B7D" ma:contentTypeVersion="18" ma:contentTypeDescription="Create a new document." ma:contentTypeScope="" ma:versionID="6de610a12c296cbeec23cc821b554b3e">
  <xsd:schema xmlns:xsd="http://www.w3.org/2001/XMLSchema" xmlns:xs="http://www.w3.org/2001/XMLSchema" xmlns:p="http://schemas.microsoft.com/office/2006/metadata/properties" xmlns:ns2="7dd93919-6c74-47c2-b212-98d16329f94f" xmlns:ns3="de3eafa2-dfb1-4650-b5bd-f1438ffd6245" targetNamespace="http://schemas.microsoft.com/office/2006/metadata/properties" ma:root="true" ma:fieldsID="8a348adbfae78c38d1b07d4d769e3dfd" ns2:_="" ns3:_="">
    <xsd:import namespace="7dd93919-6c74-47c2-b212-98d16329f94f"/>
    <xsd:import namespace="de3eafa2-dfb1-4650-b5bd-f1438ffd62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93919-6c74-47c2-b212-98d16329f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d7a616-e805-4e2f-a0f3-038faa6e35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eafa2-dfb1-4650-b5bd-f1438ffd62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dcb782-3329-458b-9163-8aadcb0f05e2}" ma:internalName="TaxCatchAll" ma:showField="CatchAllData" ma:web="de3eafa2-dfb1-4650-b5bd-f1438ffd62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e3eafa2-dfb1-4650-b5bd-f1438ffd6245" xsi:nil="true"/>
    <lcf76f155ced4ddcb4097134ff3c332f xmlns="7dd93919-6c74-47c2-b212-98d16329f9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505AD4-D4EB-436C-8076-2AA1F0920CE6}">
  <ds:schemaRefs>
    <ds:schemaRef ds:uri="http://schemas.openxmlformats.org/officeDocument/2006/bibliography"/>
  </ds:schemaRefs>
</ds:datastoreItem>
</file>

<file path=customXml/itemProps2.xml><?xml version="1.0" encoding="utf-8"?>
<ds:datastoreItem xmlns:ds="http://schemas.openxmlformats.org/officeDocument/2006/customXml" ds:itemID="{48CDEBD4-0313-4D78-BE93-EE479BAEC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93919-6c74-47c2-b212-98d16329f94f"/>
    <ds:schemaRef ds:uri="de3eafa2-dfb1-4650-b5bd-f1438ffd6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003B7-5F6A-4A7C-B83E-BC926CEB667D}">
  <ds:schemaRefs>
    <ds:schemaRef ds:uri="http://schemas.microsoft.com/sharepoint/v3/contenttype/forms"/>
  </ds:schemaRefs>
</ds:datastoreItem>
</file>

<file path=customXml/itemProps4.xml><?xml version="1.0" encoding="utf-8"?>
<ds:datastoreItem xmlns:ds="http://schemas.openxmlformats.org/officeDocument/2006/customXml" ds:itemID="{AA36CE74-BA57-4366-A0DC-88099BE8D9AE}">
  <ds:schemaRefs>
    <ds:schemaRef ds:uri="http://schemas.microsoft.com/office/2006/metadata/properties"/>
    <ds:schemaRef ds:uri="http://schemas.microsoft.com/office/infopath/2007/PartnerControls"/>
    <ds:schemaRef ds:uri="de3eafa2-dfb1-4650-b5bd-f1438ffd6245"/>
    <ds:schemaRef ds:uri="7dd93919-6c74-47c2-b212-98d16329f94f"/>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89</Pages>
  <Words>21793</Words>
  <Characters>124222</Characters>
  <Application>Microsoft Office Word</Application>
  <DocSecurity>0</DocSecurity>
  <Lines>1035</Lines>
  <Paragraphs>291</Paragraphs>
  <ScaleCrop>false</ScaleCrop>
  <Company/>
  <LinksUpToDate>false</LinksUpToDate>
  <CharactersWithSpaces>145724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Vera | TheSquareDotTeam</cp:lastModifiedBy>
  <cp:revision>136</cp:revision>
  <dcterms:created xsi:type="dcterms:W3CDTF">2026-05-22T07:08:00Z</dcterms:created>
  <dcterms:modified xsi:type="dcterms:W3CDTF">2026-06-24T10:27:00Z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0x0101002B0390011445F443992AAA180A5C5B7D</vt:lpwstr>
  </property>
  <property fmtid="{D5CDD505-2E9C-101B-9397-08002B2CF9AE}" pid="3" name="MediaServiceImageTags">
    <vt:lpwstr/>
  </property>
</Properties>
</file>